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307/QĐ-NH2 ban hành quy định ký hiệu của chứng từ và ký hiệu về nội dung nghiệp vụ liên quan đến thanh toán</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307/QĐ-NH2</w:t>
      </w:r>
      <w:r>
        <w:rPr>
          <w:b w:val="0"/>
          <w:i w:val="0"/>
        </w:rPr>
        <w:br/>
      </w:r>
      <w:r>
        <w:rPr>
          <w:b w:val="0"/>
          <w:i w:val="0"/>
        </w:rPr>
        <w:br/>
      </w:r>
      <w:r>
        <w:rPr>
          <w:b w:val="0"/>
          <w:i/>
        </w:rPr>
        <w:br/>
      </w:r>
      <w:r>
        <w:rPr>
          <w:b w:val="0"/>
          <w:i/>
        </w:rPr>
        <w:t>Hà Nội, ngày 16 tháng 9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307/QĐ-NH2</w:t>
      </w:r>
      <w:r>
        <w:rPr>
          <w:b w:val="0"/>
          <w:i w:val="0"/>
        </w:rPr>
        <w:br/>
      </w:r>
      <w:r>
        <w:rPr>
          <w:b w:val="0"/>
          <w:i w:val="0"/>
        </w:rPr>
        <w:br/>
      </w:r>
      <w:r>
        <w:rPr>
          <w:b w:val="0"/>
          <w:i/>
        </w:rPr>
        <w:br/>
      </w:r>
      <w:r>
        <w:rPr>
          <w:b w:val="0"/>
          <w:i/>
        </w:rPr>
        <w:t>Hà Nội, ngày 16 tháng 9 năm 1997</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307/QĐ-NH2</w:t>
      </w:r>
      <w:r>
        <w:rPr>
          <w:b w:val="0"/>
          <w:i w:val="0"/>
        </w:rPr>
        <w:br/>
      </w:r>
      <w:r>
        <w:rPr>
          <w:b w:val="0"/>
          <w:i w:val="0"/>
        </w:rPr>
        <w:br/>
      </w:r>
      <w:r>
        <w:rPr>
          <w:b w:val="0"/>
          <w:i/>
        </w:rPr>
        <w:br/>
      </w:r>
      <w:r>
        <w:rPr>
          <w:b w:val="0"/>
          <w:i/>
        </w:rPr>
        <w:t>Hà Nội, ngày 16 tháng 9 năm 1997</w:t>
      </w:r>
      <w:r>
        <w:rPr>
          <w:b w:val="0"/>
          <w:i/>
        </w:rPr>
        <w:br/>
      </w:r>
      <w:r>
        <w:rPr>
          <w:b w:val="0"/>
          <w:i w:val="0"/>
        </w:rPr>
        <w:br/>
      </w:r>
    </w:p>
    <w:p>
      <w:pPr>
        <w:jc w:val="center"/>
      </w:pPr>
      <w:r>
        <w:rPr>
          <w:b w:val="0"/>
          <w:i w:val="0"/>
        </w:rPr>
        <w:br/>
      </w:r>
      <w:r>
        <w:rPr>
          <w:b w:val="0"/>
          <w:i w:val="0"/>
        </w:rPr>
        <w:t>Số: 307/QĐ-NH2</w:t>
      </w:r>
      <w:r>
        <w:rPr>
          <w:b w:val="0"/>
          <w:i w:val="0"/>
        </w:rPr>
        <w:br/>
      </w:r>
    </w:p>
    <w:p>
      <w:pPr>
        <w:jc w:val="center"/>
      </w:pPr>
      <w:r>
        <w:rPr>
          <w:b w:val="0"/>
          <w:i w:val="0"/>
        </w:rPr>
        <w:br/>
      </w:r>
      <w:r>
        <w:rPr>
          <w:b w:val="0"/>
          <w:i w:val="0"/>
        </w:rPr>
        <w:t>Hà Nội, ngày 16 tháng 9 năm 1997</w:t>
      </w:r>
      <w:r>
        <w:rPr>
          <w:b w:val="0"/>
          <w:i w:val="0"/>
        </w:rPr>
        <w:br/>
      </w:r>
    </w:p>
    <w:p>
      <w:r>
        <w:rPr>
          <w:b/>
          <w:i w:val="0"/>
        </w:rPr>
        <w:t>QUYẾT ĐỊNH</w:t>
      </w:r>
    </w:p>
    <w:p>
      <w:r>
        <w:rPr>
          <w:b/>
          <w:i w:val="0"/>
        </w:rPr>
        <w:t>Ban hành quy định ký hiệu của chứng từ và ký hiệu về nội dung nghiệp vụ</w:t>
      </w:r>
    </w:p>
    <w:p>
      <w:r>
        <w:rPr>
          <w:b/>
          <w:i w:val="0"/>
        </w:rPr>
        <w:t xml:space="preserve"> liên quan đến thanh toán</w:t>
      </w:r>
      <w:r>
        <w:br/>
      </w:r>
      <w:r>
        <w:rPr>
          <w:b w:val="0"/>
          <w:i w:val="0"/>
        </w:rPr>
        <w:t>__________</w:t>
      </w:r>
    </w:p>
    <w:p>
      <w:r>
        <w:rPr>
          <w:b/>
          <w:i w:val="0"/>
        </w:rPr>
        <w:t>THỐNG ĐỐC NGÂN HÀNG NHÀ NƯỚC</w:t>
      </w:r>
    </w:p>
    <w:p>
      <w:r>
        <w:rPr>
          <w:b w:val="0"/>
          <w:i/>
        </w:rPr>
        <w:t>Căn cứ Pháp lệnh Ngân hàng Nhà nước Việt Nam, Pháp lệnh Ngân hàng, Hợp tác xã Tín dụng và Công ty Tài chính ngày 23-5-1990;</w:t>
      </w:r>
    </w:p>
    <w:p>
      <w:r>
        <w:rPr>
          <w:b w:val="0"/>
          <w:i/>
        </w:rPr>
        <w:t>Căn cứ Pháp lệnh Kế toán và Thống kê ngày 10-5-1988;</w:t>
      </w:r>
    </w:p>
    <w:p>
      <w:r>
        <w:rPr>
          <w:b w:val="0"/>
          <w:i/>
        </w:rPr>
        <w:t>Căn cứ Nghị định số 15/CP ngày 2-3-1993 của Chính phủ về nhiệm vụ, quyền hạn và trách nhiệm quản lý Nhà nước của bộ, cơ quan ngang Bộ;</w:t>
      </w:r>
    </w:p>
    <w:p>
      <w:r>
        <w:rPr>
          <w:b w:val="0"/>
          <w:i/>
        </w:rPr>
        <w:t>Căn cứ Quyết định số 196/TTg ngày 1-4-1997 của Thủ tướng Chính phủ về việc sử dụng các dữ liệu thông tin trên vật mang tin để làm chứng từ kế toán và thanh toán của các Ngân hàng và tổ chức tín dụng.</w:t>
      </w:r>
    </w:p>
    <w:p>
      <w:r>
        <w:rPr>
          <w:b w:val="0"/>
          <w:i/>
        </w:rPr>
        <w:t>Theo đề nghị của Vụ trưởng Vụ Kế toán - Tài chính Ngân hàng Nhà nước.</w:t>
      </w:r>
    </w:p>
    <w:p>
      <w:r>
        <w:rPr>
          <w:b/>
          <w:i w:val="0"/>
        </w:rPr>
        <w:t>QUYẾT ĐỊNH</w:t>
      </w:r>
    </w:p>
    <w:p>
      <w:r>
        <w:rPr>
          <w:b/>
          <w:i w:val="0"/>
        </w:rPr>
        <w:t xml:space="preserve">Điều 1. </w:t>
      </w:r>
      <w:r>
        <w:rPr>
          <w:b w:val="0"/>
          <w:i w:val="0"/>
        </w:rPr>
        <w:t>Ban hành kèm theo Quyết định này "Quy định ký hiệu của chứng từ và ký hiệu về nội dung nghiệp vụ liên quan đến thanh toán".</w:t>
      </w:r>
    </w:p>
    <w:p>
      <w:r>
        <w:rPr>
          <w:b/>
          <w:i w:val="0"/>
        </w:rPr>
        <w:t>Điều 2.</w:t>
      </w:r>
      <w:r>
        <w:rPr>
          <w:b w:val="0"/>
          <w:i w:val="0"/>
        </w:rPr>
        <w:t xml:space="preserve"> Quyết định này có hiệu lực sau 15 ngày kể từ ngày ký. Các quy định về vấn đề này ban hành trước đây trái với Quyết định này đều hết hiệu lực thi hành.</w:t>
      </w:r>
    </w:p>
    <w:p>
      <w:r>
        <w:rPr>
          <w:b/>
          <w:i w:val="0"/>
        </w:rPr>
        <w:t>Điều 3.</w:t>
      </w:r>
      <w:r>
        <w:rPr>
          <w:b w:val="0"/>
          <w:i w:val="0"/>
        </w:rPr>
        <w:t xml:space="preserve"> Chánh văn phòng Thống đốc, Vụ trưởng Vụ Kế toán - Tài chính, Thủ trưởng đơn vị thuộc Ngân hàng Nhà nước Trung ương, Tổng giám đốc, Giám đốc Ngân hàng, Kho bạc Nhà nước, Giám đốc chi nhánh Ngân hàng Nhà nước tỉnh, thành phố, Giám đốc Trung tâm tin học Ngân hàng, Giám đốc Sở Giao dịch Ngân hàng Nhà nước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Chu Văn Nguyễn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Chu Văn Nguyễn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