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30/2000/QĐ-BCN Về việc chuyển giao các Trường Mầm non (nhà trẻ, mẫu giáo) thuộc Xí nghiệp Hoá chất mỏ Quảng Ninh (Công ty Hoá chất mỏ, đơn vị thành viên của Tổng Công ty Than Việt Nam) về UBND tỉnh Quảng Ninh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val="0"/>
          <w:i w:val="0"/>
        </w:rPr>
        <w:br/>
      </w:r>
      <w:r>
        <w:rPr>
          <w:b/>
          <w:i w:val="0"/>
        </w:rPr>
        <w:t xml:space="preserve">QUYẾT ĐỊNH </w:t>
      </w:r>
      <w:r>
        <w:rPr>
          <w:b w:val="0"/>
          <w:i w:val="0"/>
        </w:rPr>
        <w:br/>
      </w:r>
      <w:r>
        <w:rPr>
          <w:b/>
          <w:i w:val="0"/>
        </w:rPr>
        <w:t>VỀ VIỆC CHUYỂN GIAO CÁC TRƯỜNG MẦM NON (NHÀ TRẺ, MẪU GIÁO) THUỘC XÍ NGHIỆP HOÁ CHẤT MỎ QUẢNG NINH (CÔNG TY HOÁ CHẤT MỎ, ĐƠN VỊ THÀNH VIÊN CỦA TỔNG CÔNG TY THAN VIỆT NAM) VỀ UBND TỈNH QUẢNG NINH QUẢN LÝ</w:t>
      </w:r>
      <w:r>
        <w:rPr>
          <w:b w:val="0"/>
          <w:i w:val="0"/>
        </w:rPr>
        <w:br/>
      </w:r>
      <w:r>
        <w:rPr>
          <w:b/>
          <w:i w:val="0"/>
        </w:rPr>
        <w:t xml:space="preserve"> </w:t>
      </w:r>
      <w:r>
        <w:rPr>
          <w:b w:val="0"/>
          <w:i w:val="0"/>
        </w:rPr>
        <w:br/>
      </w:r>
      <w:r>
        <w:rPr>
          <w:b/>
          <w:i w:val="0"/>
        </w:rPr>
        <w:t>BỘ TRƯỞNG BỘ CÔNG NGHIỆP</w:t>
      </w:r>
      <w:r>
        <w:rPr>
          <w:b w:val="0"/>
          <w:i w:val="0"/>
        </w:rPr>
        <w:br/>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Căn cứ ý kiến của Thủ tướng Chính phủ tại Công văn số 14/CP-ĐMDN ngày 02 tháng 02 năm 2000 và kết luận tại Hội nghị triển khai giữa các Bộ, ngành và địa phương liên quan (Thông báo số 04/TB-VP ngày 29 tháng 3 năm 2000 của Bộ Công nghiệp);</w:t>
      </w:r>
      <w:r>
        <w:rPr>
          <w:b w:val="0"/>
          <w:i w:val="0"/>
        </w:rPr>
        <w:br/>
      </w:r>
      <w:r>
        <w:rPr>
          <w:b w:val="0"/>
          <w:i/>
        </w:rPr>
        <w:t xml:space="preserve"> Theo đề nghị của Hội đồng quản trị Tổng Công ty Than Việt Nam (tờ trình số 387CV/HĐQT ngày 17 tháng 11 năm 1999 và Công văn số 1064/CV-TCCB ngày 27 tháng 4 năm 2000) và Vụ trưởng Vụ Tổ chức - Cán bộ,</w:t>
      </w:r>
      <w:r>
        <w:rPr>
          <w:b w:val="0"/>
          <w:i w:val="0"/>
        </w:rPr>
        <w:br/>
      </w:r>
      <w:r>
        <w:rPr>
          <w:b w:val="0"/>
          <w:i w:val="0"/>
        </w:rPr>
        <w:t xml:space="preserve"> </w:t>
      </w:r>
      <w:r>
        <w:rPr>
          <w:b w:val="0"/>
          <w:i w:val="0"/>
        </w:rPr>
        <w:br/>
      </w:r>
      <w:r>
        <w:rPr>
          <w:b/>
          <w:i w:val="0"/>
        </w:rPr>
        <w:t>QUYẾT ĐỊNH:</w:t>
      </w:r>
      <w:r>
        <w:rPr>
          <w:b w:val="0"/>
          <w:i w:val="0"/>
        </w:rPr>
        <w:br/>
      </w:r>
      <w:r>
        <w:rPr>
          <w:b/>
          <w:i w:val="0"/>
        </w:rPr>
        <w:t xml:space="preserve">Điều 1. </w:t>
      </w:r>
      <w:r>
        <w:rPr>
          <w:b w:val="0"/>
          <w:i w:val="0"/>
        </w:rPr>
        <w:t>Chuyển giao nguyên trạng Trường Mầm non thuộc Xí nghiệp Hoá chất mỏ Quảng Ninh(Công ty Hoá chất mỏ, đơn vị thành viên của Tổng Công ty Than Việt Nam) về Uỷ ban nhân dân tỉnh Quảng Ninh quản lý, bao gồm:</w:t>
      </w:r>
      <w:r>
        <w:rPr>
          <w:b w:val="0"/>
          <w:i w:val="0"/>
        </w:rPr>
        <w:br/>
      </w:r>
      <w:r>
        <w:rPr>
          <w:b w:val="0"/>
          <w:i w:val="0"/>
        </w:rPr>
        <w:t>1/ Tại thành phố Hạ Long: Có 02 lớp nhà trẻ; 02 lớp mẫu giáo.</w:t>
      </w:r>
      <w:r>
        <w:rPr>
          <w:b w:val="0"/>
          <w:i w:val="0"/>
        </w:rPr>
        <w:br/>
      </w:r>
      <w:r>
        <w:rPr>
          <w:b w:val="0"/>
          <w:i w:val="0"/>
        </w:rPr>
        <w:t>2/ Tại thị xã Cẩm Phả: Có 01 lớp chung.</w:t>
      </w:r>
      <w:r>
        <w:rPr>
          <w:b w:val="0"/>
          <w:i w:val="0"/>
        </w:rPr>
        <w:br/>
      </w:r>
      <w:r>
        <w:rPr>
          <w:b/>
          <w:i w:val="0"/>
        </w:rPr>
        <w:t xml:space="preserve">Điều 2. </w:t>
      </w:r>
      <w:r>
        <w:rPr>
          <w:b w:val="0"/>
          <w:i w:val="0"/>
        </w:rPr>
        <w:t>Tổng giám đốc Tổng Công ty Than Việt Nam có trách nhiệm làm việc với Uỷ ban nhân dân tỉnh Quảng Ninh để chỉ đạo việc chuyển giao trên theo đúng quy định hiện hành của Nhà nước.</w:t>
      </w:r>
      <w:r>
        <w:rPr>
          <w:b w:val="0"/>
          <w:i w:val="0"/>
        </w:rPr>
        <w:br/>
      </w:r>
      <w:r>
        <w:rPr>
          <w:b/>
          <w:i w:val="0"/>
        </w:rPr>
        <w:t xml:space="preserve">Điều 3.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Chủ tịch Hội đồng quản trị và Tổng giám đốc Tổng Công ty Than Việt Nam, Giám đốc Công ty Hoá chất mỏ, Giám đốc Xí nghiệp Hoá chất mỏ Quảng Ninh và Hiệu trưởng Trường Mầm non thuộc Xí nghiệp Hoá chất mỏ Quảng Ninh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