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30/2001/QĐ-UB Về việc phê duyệt chi phí lưu thông mặt hàng phân bón hoá học trong chỉ tiêu thực hiện chính sách miền núi.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 xml:space="preserve">TỈNH </w:t>
      </w:r>
      <w:r>
        <w:rPr>
          <w:b/>
          <w:i w:val="0"/>
        </w:rPr>
        <w:t>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30/2001/QĐ-UB</w:t>
      </w:r>
      <w:r>
        <w:rPr>
          <w:b w:val="0"/>
          <w:i w:val="0"/>
        </w:rPr>
        <w:br/>
      </w:r>
      <w:r>
        <w:rPr>
          <w:b w:val="0"/>
          <w:i w:val="0"/>
        </w:rPr>
        <w:br/>
      </w:r>
      <w:r>
        <w:rPr>
          <w:b w:val="0"/>
          <w:i/>
        </w:rPr>
        <w:br/>
      </w:r>
      <w:r>
        <w:rPr>
          <w:b w:val="0"/>
          <w:i/>
        </w:rPr>
        <w:t>Lâm Đồng, ngày 28 tháng 05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 xml:space="preserve">TỈNH </w:t>
      </w:r>
      <w:r>
        <w:rPr>
          <w:b/>
          <w:i w:val="0"/>
        </w:rPr>
        <w:t>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30/2001/QĐ-UB</w:t>
      </w:r>
      <w:r>
        <w:rPr>
          <w:b w:val="0"/>
          <w:i w:val="0"/>
        </w:rPr>
        <w:br/>
      </w:r>
      <w:r>
        <w:rPr>
          <w:b w:val="0"/>
          <w:i w:val="0"/>
        </w:rPr>
        <w:br/>
      </w:r>
      <w:r>
        <w:rPr>
          <w:b w:val="0"/>
          <w:i/>
        </w:rPr>
        <w:br/>
      </w:r>
      <w:r>
        <w:rPr>
          <w:b w:val="0"/>
          <w:i/>
        </w:rPr>
        <w:t>Lâm Đồng, ngày 28 tháng 05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 xml:space="preserve">TỈNH </w:t>
      </w:r>
      <w:r>
        <w:rPr>
          <w:b/>
          <w:i w:val="0"/>
        </w:rPr>
        <w:t>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rPr>
          <w:b w:val="0"/>
          <w:i w:val="0"/>
        </w:rPr>
        <w:br/>
      </w:r>
      <w:r>
        <w:rPr>
          <w:b w:val="0"/>
          <w:i w:val="0"/>
        </w:rPr>
        <w:br/>
      </w:r>
      <w:r>
        <w:rPr>
          <w:b w:val="0"/>
          <w:i w:val="0"/>
        </w:rPr>
        <w:t xml:space="preserve">TỈNH </w:t>
      </w:r>
      <w:r>
        <w:rPr>
          <w:b w:val="0"/>
          <w:i w:val="0"/>
        </w:rPr>
        <w:t>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p>
    <w:p>
      <w:r>
        <w:rPr>
          <w:b w:val="0"/>
          <w:i w:val="0"/>
        </w:rPr>
        <w:br/>
      </w:r>
      <w:r>
        <w:rPr>
          <w:b w:val="0"/>
          <w:i w:val="0"/>
        </w:rPr>
        <w:t xml:space="preserve">TỈNH </w:t>
      </w:r>
      <w:r>
        <w:rPr>
          <w:b w:val="0"/>
          <w:i w:val="0"/>
        </w:rPr>
        <w:t>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30/2001/QĐ-UB</w:t>
      </w:r>
      <w:r>
        <w:rPr>
          <w:b w:val="0"/>
          <w:i w:val="0"/>
        </w:rPr>
        <w:br/>
      </w:r>
      <w:r>
        <w:rPr>
          <w:b w:val="0"/>
          <w:i w:val="0"/>
        </w:rPr>
        <w:br/>
      </w:r>
      <w:r>
        <w:rPr>
          <w:b w:val="0"/>
          <w:i/>
        </w:rPr>
        <w:br/>
      </w:r>
      <w:r>
        <w:rPr>
          <w:b w:val="0"/>
          <w:i/>
        </w:rPr>
        <w:t>Lâm Đồng, ngày 28 tháng 05 năm 2001</w:t>
      </w:r>
      <w:r>
        <w:rPr>
          <w:b w:val="0"/>
          <w:i/>
        </w:rPr>
        <w:br/>
      </w:r>
      <w:r>
        <w:rPr>
          <w:b w:val="0"/>
          <w:i w:val="0"/>
        </w:rPr>
        <w:br/>
      </w:r>
    </w:p>
    <w:p>
      <w:pPr>
        <w:jc w:val="center"/>
      </w:pPr>
      <w:r>
        <w:rPr>
          <w:b w:val="0"/>
          <w:i w:val="0"/>
        </w:rPr>
        <w:br/>
      </w:r>
      <w:r>
        <w:rPr>
          <w:b w:val="0"/>
          <w:i w:val="0"/>
        </w:rPr>
        <w:t>Số: 30/2001/QĐ-UB</w:t>
      </w:r>
      <w:r>
        <w:rPr>
          <w:b w:val="0"/>
          <w:i w:val="0"/>
        </w:rPr>
        <w:br/>
      </w:r>
    </w:p>
    <w:p>
      <w:pPr>
        <w:jc w:val="center"/>
      </w:pPr>
      <w:r>
        <w:rPr>
          <w:b w:val="0"/>
          <w:i w:val="0"/>
        </w:rPr>
        <w:br/>
      </w:r>
      <w:r>
        <w:rPr>
          <w:b w:val="0"/>
          <w:i w:val="0"/>
        </w:rPr>
        <w:t>Lâm Đồng, ngày 28 tháng 05 năm 2001</w:t>
      </w:r>
      <w:r>
        <w:rPr>
          <w:b w:val="0"/>
          <w:i w:val="0"/>
        </w:rPr>
        <w:br/>
      </w:r>
    </w:p>
    <w:p>
      <w:r>
        <w:rPr>
          <w:b/>
          <w:i w:val="0"/>
        </w:rPr>
        <w:t>QUYẾT ĐỊNH CỦA UBND TỈNH LÂM ĐỒNG</w:t>
      </w:r>
    </w:p>
    <w:p>
      <w:r>
        <w:rPr>
          <w:b w:val="0"/>
          <w:i/>
        </w:rPr>
        <w:t>V/v phê duyệt chi phí lưu thông mặt hàng phân bón hoá học</w:t>
      </w:r>
      <w:r>
        <w:br/>
      </w:r>
      <w:r>
        <w:rPr>
          <w:b w:val="0"/>
          <w:i/>
        </w:rPr>
        <w:t>trong chỉ tiêu thực hiện chính sách miền núi.</w:t>
      </w:r>
      <w:r>
        <w:rPr>
          <w:b w:val="0"/>
          <w:i w:val="0"/>
        </w:rPr>
        <w:t xml:space="preserve"> </w:t>
      </w:r>
    </w:p>
    <w:p>
      <w:r>
        <w:rPr>
          <w:b/>
          <w:i w:val="0"/>
        </w:rPr>
        <w:t>ỦY BAN NHÂN DÂN TỈNH LÂM ĐỒNG</w:t>
      </w:r>
    </w:p>
    <w:p>
      <w:pPr>
        <w:jc w:val="both"/>
      </w:pPr>
      <w:r>
        <w:rPr>
          <w:b w:val="0"/>
          <w:i/>
        </w:rPr>
        <w:t>Căn cứ Luật Tổ chức HĐND và UBND (sửa đổi) ngày 21/6/1994;</w:t>
      </w:r>
    </w:p>
    <w:p>
      <w:pPr>
        <w:jc w:val="both"/>
      </w:pPr>
      <w:r>
        <w:rPr>
          <w:b w:val="0"/>
          <w:i/>
        </w:rPr>
        <w:t>Căn cứ Nghị định số 20/1998/NĐ-CP ngày 31/03/1998 của Chính phủ Về phát triển thương mại miền núi, hải đảo và vùng đồng bào dân tộc;</w:t>
      </w:r>
    </w:p>
    <w:p>
      <w:pPr>
        <w:jc w:val="both"/>
      </w:pPr>
      <w:r>
        <w:rPr>
          <w:b w:val="0"/>
          <w:i/>
        </w:rPr>
        <w:t>Xét Tờ trình số : 403/TT-TCVG-VG ngày 18/5/2001 của Sở Tài chính Vật giá Lâm Đồng V/v đề nghị phê duyệt chi phí lưu thông mặt hàng phân bón hoá học,</w:t>
      </w:r>
    </w:p>
    <w:p>
      <w:r>
        <w:rPr>
          <w:b/>
          <w:i w:val="0"/>
        </w:rPr>
        <w:t>QUYẾT ĐỊNH:</w:t>
      </w:r>
    </w:p>
    <w:p>
      <w:r>
        <w:rPr>
          <w:b/>
          <w:i w:val="0"/>
        </w:rPr>
        <w:t>Điều 1:</w:t>
      </w:r>
    </w:p>
    <w:p>
      <w:pPr>
        <w:jc w:val="both"/>
      </w:pPr>
      <w:r>
        <w:rPr>
          <w:b w:val="0"/>
          <w:i w:val="0"/>
        </w:rPr>
        <w:t>1/ Phê duyệt mức chi phí lưu thông để đưa mặt hàng phân bón hoá học trong chỉ tiêu kế hoạch được trợ cước vận chuyển của Nhà nước từ chân hàng cấp I (lấy TP Hồ Chí Minh làm chuẩn) về đến trung tâm xã thuộc khu vực III và khu vực II để bán lẻ trực tiếp cho người nông dân trên địa bàn tỉnh Lâm Đồng:</w:t>
      </w:r>
    </w:p>
    <w:p>
      <w:pPr>
        <w:jc w:val="both"/>
      </w:pPr>
      <w:r>
        <w:rPr>
          <w:b w:val="0"/>
          <w:i w:val="0"/>
        </w:rPr>
        <w:t>1. 1 - Khối lượng phân bón hoá học do Công ty Cổ phần Thương mại và Công ty Thương mại II thực hiện theo khu vực được phân công: 360.000 đ/tấn (Ba trăm sáu mươi ngàn đồng một tấn).</w:t>
      </w:r>
    </w:p>
    <w:p>
      <w:pPr>
        <w:jc w:val="both"/>
      </w:pPr>
      <w:r>
        <w:rPr>
          <w:b w:val="0"/>
          <w:i w:val="0"/>
        </w:rPr>
        <w:t>1. 2 - Khối lượng phân bón hoá học do Công ty Lương thực và Công ty Dịch vụ Nông nghiệp thực hiện trên phạm vi toàn tỉnh: 395.000 đ/tấn (Ba trăm chín mươi lăm ngàn đồng một tấn).</w:t>
      </w:r>
    </w:p>
    <w:p>
      <w:pPr>
        <w:jc w:val="both"/>
      </w:pPr>
      <w:r>
        <w:rPr>
          <w:b w:val="0"/>
          <w:i w:val="0"/>
        </w:rPr>
        <w:t>2/ Mức chi phí lưu thông trên đây là mức tối đa và theo nguyên tắc lấy gần bù xa. Trong quá trình thực hiện, các đơn vị phấn đấu tiết kiệm chi phí và được quyền chủ động cân đối điều hoà giữa các vùng (nhưng không được vượt mức tối đa), để có mức giá bán lẻ phù hợp với từng địa bàn theo quy định tại Điều 2 của Quyết định này.</w:t>
      </w:r>
    </w:p>
    <w:p>
      <w:pPr>
        <w:jc w:val="both"/>
      </w:pPr>
      <w:r>
        <w:rPr>
          <w:b/>
          <w:i w:val="0"/>
        </w:rPr>
        <w:t xml:space="preserve">Điều 2. </w:t>
      </w:r>
      <w:r>
        <w:rPr>
          <w:b w:val="0"/>
          <w:i w:val="0"/>
        </w:rPr>
        <w:t>Nguyên tắc và phương pháp xác định giá bán lẻ:</w:t>
      </w:r>
    </w:p>
    <w:p>
      <w:pPr>
        <w:jc w:val="both"/>
      </w:pPr>
      <w:r>
        <w:rPr>
          <w:b w:val="0"/>
          <w:i w:val="0"/>
        </w:rPr>
        <w:t xml:space="preserve">1/ Căn cứ vào giá thực mua, chi phí lưu thông hợp lý, mức trợ cước vận chuyển theo quy định của cấp có thẩm quyền. Giám đốc doanh nghiệp quy định giá bán lẻ đến người tiêu dùng, theo nguyên tắc: </w:t>
      </w:r>
      <w:r>
        <w:rPr>
          <w:b w:val="0"/>
          <w:i/>
        </w:rPr>
        <w:t>không vượt quá mức giá bán lẻ tối đa quy định theo công thức dưới đây và phải thấp hơn giá thị trường ít nhất là 5% (năm phần trăm).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Giá bán lẻ tối đa đến tay người tiêu dùng</w:t>
            </w:r>
          </w:p>
        </w:tc>
        <w:tc>
          <w:tcPr>
            <w:tcW w:type="dxa" w:w="960"/>
          </w:tcPr>
          <w:p>
            <w:r>
              <w:rPr>
                <w:b w:val="0"/>
                <w:i w:val="0"/>
              </w:rPr>
              <w:br/>
            </w:r>
            <w:r>
              <w:rPr>
                <w:b w:val="0"/>
                <w:i w:val="0"/>
              </w:rPr>
              <w:t>=</w:t>
            </w:r>
          </w:p>
        </w:tc>
        <w:tc>
          <w:tcPr>
            <w:tcW w:type="dxa" w:w="960"/>
          </w:tcPr>
          <w:p>
            <w:r>
              <w:rPr>
                <w:b w:val="0"/>
                <w:i w:val="0"/>
              </w:rPr>
              <w:br/>
            </w:r>
            <w:r>
              <w:rPr>
                <w:b w:val="0"/>
                <w:i w:val="0"/>
              </w:rPr>
              <w:t>Giá mua tại địa chỉ quy định</w:t>
            </w:r>
          </w:p>
        </w:tc>
        <w:tc>
          <w:tcPr>
            <w:tcW w:type="dxa" w:w="960"/>
          </w:tcPr>
          <w:p>
            <w:r>
              <w:rPr>
                <w:b w:val="0"/>
                <w:i w:val="0"/>
              </w:rPr>
              <w:br/>
            </w:r>
            <w:r>
              <w:rPr>
                <w:b w:val="0"/>
                <w:i w:val="0"/>
              </w:rPr>
              <w:t>+</w:t>
            </w:r>
          </w:p>
        </w:tc>
        <w:tc>
          <w:tcPr>
            <w:tcW w:type="dxa" w:w="960"/>
          </w:tcPr>
          <w:p>
            <w:r>
              <w:rPr>
                <w:b w:val="0"/>
                <w:i w:val="0"/>
              </w:rPr>
              <w:br/>
            </w:r>
            <w:r>
              <w:rPr>
                <w:b w:val="0"/>
                <w:i w:val="0"/>
              </w:rPr>
              <w:t>Chi phí lưu thông hợp lý</w:t>
            </w:r>
          </w:p>
        </w:tc>
        <w:tc>
          <w:tcPr>
            <w:tcW w:type="dxa" w:w="960"/>
          </w:tcPr>
          <w:p>
            <w:r>
              <w:rPr>
                <w:b w:val="0"/>
                <w:i w:val="0"/>
              </w:rPr>
              <w:br/>
            </w:r>
            <w:r>
              <w:rPr>
                <w:b w:val="0"/>
                <w:i w:val="0"/>
              </w:rPr>
              <w:t>-</w:t>
            </w:r>
          </w:p>
        </w:tc>
        <w:tc>
          <w:tcPr>
            <w:tcW w:type="dxa" w:w="960"/>
          </w:tcPr>
          <w:p>
            <w:r>
              <w:rPr>
                <w:b w:val="0"/>
                <w:i w:val="0"/>
              </w:rPr>
              <w:br/>
            </w:r>
            <w:r>
              <w:rPr>
                <w:b w:val="0"/>
                <w:i w:val="0"/>
              </w:rPr>
              <w:t>Tiền trợ cước vận chuyển</w:t>
            </w:r>
          </w:p>
        </w:tc>
        <w:tc>
          <w:tcPr>
            <w:tcW w:type="dxa" w:w="960"/>
          </w:tcPr>
          <w:p>
            <w:r>
              <w:rPr>
                <w:b w:val="0"/>
                <w:i w:val="0"/>
              </w:rPr>
              <w:br/>
            </w:r>
            <w:r>
              <w:rPr>
                <w:b w:val="0"/>
                <w:i w:val="0"/>
              </w:rPr>
              <w:t>+</w:t>
            </w:r>
          </w:p>
        </w:tc>
        <w:tc>
          <w:tcPr>
            <w:tcW w:type="dxa" w:w="960"/>
          </w:tcPr>
          <w:p>
            <w:r>
              <w:rPr>
                <w:b w:val="0"/>
                <w:i w:val="0"/>
              </w:rPr>
              <w:br/>
            </w:r>
            <w:r>
              <w:rPr>
                <w:b w:val="0"/>
                <w:i w:val="0"/>
              </w:rPr>
              <w:t>Thuế giá trị gia tăng phải nộp</w:t>
            </w:r>
          </w:p>
        </w:tc>
      </w:tr>
    </w:tbl>
    <w:p>
      <w:pPr>
        <w:jc w:val="both"/>
      </w:pPr>
      <w:r>
        <w:rPr>
          <w:b w:val="0"/>
          <w:i w:val="0"/>
        </w:rPr>
        <w:t>2/ Giao Sở Tài chính Vật giá hướng dẫn và kiểm tra thực hiện Quyết định này.</w:t>
      </w:r>
    </w:p>
    <w:p>
      <w:pPr>
        <w:jc w:val="both"/>
      </w:pPr>
      <w:r>
        <w:rPr>
          <w:b/>
          <w:i w:val="0"/>
        </w:rPr>
        <w:t xml:space="preserve">Điều 3. </w:t>
      </w:r>
      <w:r>
        <w:rPr>
          <w:b w:val="0"/>
          <w:i w:val="0"/>
        </w:rPr>
        <w:t>Quyết định này có hiệu lực kể từ ngày 01/01/2001. Các quy định trước đây của UBND tỉnh và các sở, ban, ngành trái với nội dung Quyết định này đều không còn hiệu lực thi hành.</w:t>
      </w:r>
    </w:p>
    <w:p>
      <w:pPr>
        <w:jc w:val="both"/>
      </w:pPr>
      <w:r>
        <w:rPr>
          <w:b w:val="0"/>
          <w:i w:val="0"/>
        </w:rPr>
        <w:t>Các ông Chánh Văn phòng ủy ban Nhân dân Tỉnh, Giám đốc các Sở : Tài chính Vật giá, Kế hoạch và Đầu tư, Nông nghiệp và Phát triển Nông thôn, Thương mại, Trưởng Ban Dân tộc và Miền núi tỉnh Lâm Đồng, Các ông Giám đốc: Cty Dịch vụ Nông nghiệp, Cty Lương thực, Cty Thương mại II, Cty Cổ phần Thương mại và Thủ trưởng các ngành, các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ubnd tỉnh lâm đồng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Xuân Tiến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ubnd tỉnh lâm đồng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Xuân Tiến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ubnd tỉnh lâm đồng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Xuân Tiến</w:t>
      </w:r>
      <w:r>
        <w:rPr>
          <w:b/>
          <w:i w:val="0"/>
        </w:rPr>
        <w:br/>
      </w:r>
      <w:r>
        <w:rPr>
          <w:b w:val="0"/>
          <w:i w:val="0"/>
        </w:rPr>
        <w:br/>
      </w:r>
    </w:p>
    <w:p>
      <w:r>
        <w:rPr>
          <w:b w:val="0"/>
          <w:i w:val="0"/>
        </w:rPr>
        <w:br/>
      </w:r>
      <w:r>
        <w:rPr>
          <w:b w:val="0"/>
          <w:i w:val="0"/>
        </w:rPr>
        <w:t xml:space="preserve">ubnd tỉnh lâm đồng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Xuân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