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30/2014/NQ-HĐND Phê duyệt dự toán thu ngân sách Nhà nước trên địa bàn và dự toán thu, chi ngân sách địa phương năm 2015</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THÁI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30/2014/NQ-HĐND</w:t>
      </w:r>
      <w:r>
        <w:rPr>
          <w:b w:val="0"/>
          <w:i w:val="0"/>
        </w:rPr>
        <w:br/>
      </w:r>
      <w:r>
        <w:rPr>
          <w:b w:val="0"/>
          <w:i w:val="0"/>
        </w:rPr>
        <w:br/>
      </w:r>
      <w:r>
        <w:rPr>
          <w:b w:val="0"/>
          <w:i/>
        </w:rPr>
        <w:br/>
      </w:r>
      <w:r>
        <w:rPr>
          <w:b w:val="0"/>
          <w:i/>
        </w:rPr>
        <w:t>Thái Bình, ngày 05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THÁI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30/2014/NQ-HĐND</w:t>
      </w:r>
      <w:r>
        <w:rPr>
          <w:b w:val="0"/>
          <w:i w:val="0"/>
        </w:rPr>
        <w:br/>
      </w:r>
      <w:r>
        <w:rPr>
          <w:b w:val="0"/>
          <w:i w:val="0"/>
        </w:rPr>
        <w:br/>
      </w:r>
      <w:r>
        <w:rPr>
          <w:b w:val="0"/>
          <w:i/>
        </w:rPr>
        <w:br/>
      </w:r>
      <w:r>
        <w:rPr>
          <w:b w:val="0"/>
          <w:i/>
        </w:rPr>
        <w:t>Thái Bình, ngày 05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THÁI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THÁI BÌNH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THÁI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30/2014/NQ-HĐND</w:t>
      </w:r>
      <w:r>
        <w:rPr>
          <w:b w:val="0"/>
          <w:i w:val="0"/>
        </w:rPr>
        <w:br/>
      </w:r>
      <w:r>
        <w:rPr>
          <w:b w:val="0"/>
          <w:i w:val="0"/>
        </w:rPr>
        <w:br/>
      </w:r>
      <w:r>
        <w:rPr>
          <w:b w:val="0"/>
          <w:i/>
        </w:rPr>
        <w:br/>
      </w:r>
      <w:r>
        <w:rPr>
          <w:b w:val="0"/>
          <w:i/>
        </w:rPr>
        <w:t>Thái Bình, ngày 05 tháng 12 năm 2014</w:t>
      </w:r>
      <w:r>
        <w:rPr>
          <w:b w:val="0"/>
          <w:i/>
        </w:rPr>
        <w:br/>
      </w:r>
      <w:r>
        <w:rPr>
          <w:b w:val="0"/>
          <w:i w:val="0"/>
        </w:rPr>
        <w:br/>
      </w:r>
    </w:p>
    <w:p>
      <w:pPr>
        <w:jc w:val="center"/>
      </w:pPr>
      <w:r>
        <w:rPr>
          <w:b w:val="0"/>
          <w:i w:val="0"/>
        </w:rPr>
        <w:br/>
      </w:r>
      <w:r>
        <w:rPr>
          <w:b w:val="0"/>
          <w:i w:val="0"/>
        </w:rPr>
        <w:t>Số: 30/2014/NQ-HĐND</w:t>
      </w:r>
      <w:r>
        <w:rPr>
          <w:b w:val="0"/>
          <w:i w:val="0"/>
        </w:rPr>
        <w:br/>
      </w:r>
    </w:p>
    <w:p>
      <w:pPr>
        <w:jc w:val="center"/>
      </w:pPr>
      <w:r>
        <w:rPr>
          <w:b w:val="0"/>
          <w:i w:val="0"/>
        </w:rPr>
        <w:br/>
      </w:r>
      <w:r>
        <w:rPr>
          <w:b w:val="0"/>
          <w:i w:val="0"/>
        </w:rPr>
        <w:t>Thái Bình, ngày 05 tháng 12 năm 2014</w:t>
      </w:r>
      <w:r>
        <w:rPr>
          <w:b w:val="0"/>
          <w:i w:val="0"/>
        </w:rPr>
        <w:br/>
      </w:r>
    </w:p>
    <w:p>
      <w:r>
        <w:rPr>
          <w:b/>
          <w:i w:val="0"/>
        </w:rPr>
        <w:t>NGHỊ QUYẾT</w:t>
      </w:r>
    </w:p>
    <w:p>
      <w:r>
        <w:rPr>
          <w:b/>
          <w:i w:val="0"/>
        </w:rPr>
        <w:t>Phê duyệt dự toán thu ngân sách Nhà nước trên địa bàn và dự toán thu, chi ngân sách địa phương năm 2015</w:t>
      </w:r>
    </w:p>
    <w:p>
      <w:r>
        <w:rPr>
          <w:b/>
          <w:i w:val="0"/>
        </w:rPr>
        <w:t>__________</w:t>
      </w:r>
    </w:p>
    <w:p>
      <w:r>
        <w:rPr>
          <w:b/>
          <w:i w:val="0"/>
        </w:rPr>
        <w:t>HỘI ĐỒNG NHÂN DÂN TỈNH THÁI BÌNH</w:t>
      </w:r>
      <w:r>
        <w:br/>
      </w:r>
      <w:r>
        <w:rPr>
          <w:b/>
          <w:i w:val="0"/>
        </w:rPr>
        <w:br/>
        <w:t xml:space="preserve">      KHÓA XV, KỲ HỌP THỨ CHÍN</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Luật Ngân sách nhà nước ngày 16 tháng 12 năm 2002;</w:t>
      </w:r>
    </w:p>
    <w:p>
      <w:r>
        <w:rPr>
          <w:b w:val="0"/>
          <w:i w:val="0"/>
        </w:rPr>
        <w:t>Sau khi xem xét Báo cáo số 116/BC-UBND ngày 26 tháng 11 năm 2014 của Ủy ban nhân dân tỉnh đánh giá tình hình thực hiện dự toán ngân sách năm 2014 và phân bổ dự toán ngân sách năm 2015; Báo cáo thẩm tra số 93/BC-KTNS ngày 28 tháng 11 năm 2014 của Ban Kinh tế - Ngân sách Hội đồng nhân dân tỉnh và ý kiến thảo luận của đại biểu Hội đồng nhân dân tỉnh,</w:t>
      </w:r>
    </w:p>
    <w:p>
      <w:r>
        <w:rPr>
          <w:b/>
          <w:i w:val="0"/>
        </w:rPr>
        <w:t>QUYẾT NGHỊ:</w:t>
      </w:r>
    </w:p>
    <w:p>
      <w:r>
        <w:rPr>
          <w:b/>
          <w:i w:val="0"/>
        </w:rPr>
        <w:t xml:space="preserve">Điều 1. </w:t>
      </w:r>
      <w:r>
        <w:rPr>
          <w:b w:val="0"/>
          <w:i w:val="0"/>
        </w:rPr>
        <w:t>Phê duyệt dự toán thu ngân sách Nhà nước trên địa bàn và dự toán thu, chi ngân sách địa phương tỉnh Thái Bình năm 2015 như sau:</w:t>
      </w:r>
    </w:p>
    <w:p>
      <w:r>
        <w:rPr>
          <w:b w:val="0"/>
          <w:i w:val="0"/>
        </w:rPr>
        <w:t>1. Tổng thu ngân sách Nhà nước trên địa bàn: 3.319.000 triệu đồng.</w:t>
      </w:r>
    </w:p>
    <w:p>
      <w:r>
        <w:rPr>
          <w:b w:val="0"/>
          <w:i w:val="0"/>
        </w:rPr>
        <w:t>Trong đó:</w:t>
      </w:r>
    </w:p>
    <w:p>
      <w:r>
        <w:rPr>
          <w:b w:val="0"/>
          <w:i w:val="0"/>
        </w:rPr>
        <w:t>- Thu nội địa:                                                                               3.069.000 triệu đồng.</w:t>
      </w:r>
    </w:p>
    <w:p>
      <w:r>
        <w:rPr>
          <w:b w:val="0"/>
          <w:i w:val="0"/>
        </w:rPr>
        <w:t>- Thu thuế xuất, nhập khẩu:                                                        250.000 triệu đồng.</w:t>
      </w:r>
    </w:p>
    <w:p>
      <w:r>
        <w:rPr>
          <w:b w:val="0"/>
          <w:i w:val="0"/>
        </w:rPr>
        <w:t>2. Tổng thu ngân sách địa phương (không kể ghi thu, ghi chi): 8.354.979 triệu đồng. Trong đó:</w:t>
      </w:r>
    </w:p>
    <w:p>
      <w:r>
        <w:rPr>
          <w:b w:val="0"/>
          <w:i w:val="0"/>
        </w:rPr>
        <w:t>- Thu nội địa được cân đối:                                                        3.055.050 triệu đồng.</w:t>
      </w:r>
    </w:p>
    <w:p>
      <w:r>
        <w:rPr>
          <w:b w:val="0"/>
          <w:i w:val="0"/>
        </w:rPr>
        <w:t>- Thu bổ sung từ ngân sách Trung ương:                                 5.299.929 triệu đồng.</w:t>
      </w:r>
    </w:p>
    <w:p>
      <w:r>
        <w:rPr>
          <w:b w:val="0"/>
          <w:i w:val="0"/>
        </w:rPr>
        <w:t>3. Tổng chi cân đối ngân sách địa phương:                              8.354.979 triệu đồng.</w:t>
      </w:r>
    </w:p>
    <w:p>
      <w:r>
        <w:rPr>
          <w:b w:val="0"/>
          <w:i w:val="0"/>
        </w:rPr>
        <w:t>a. Phân bổ chi ngân sách địa phương cho các cấp ngân sách:</w:t>
      </w:r>
    </w:p>
    <w:p>
      <w:r>
        <w:rPr>
          <w:b w:val="0"/>
          <w:i w:val="0"/>
        </w:rPr>
        <w:t>- Chi ngân sách cấp tỉnh:                                                           3.544.552 triệu đồng.</w:t>
      </w:r>
    </w:p>
    <w:p>
      <w:r>
        <w:rPr>
          <w:b w:val="0"/>
          <w:i w:val="0"/>
        </w:rPr>
        <w:t>- Chi ngân sách cấp huyện:                                                       3.139.986 triệu đồng.</w:t>
      </w:r>
    </w:p>
    <w:p>
      <w:r>
        <w:rPr>
          <w:b w:val="0"/>
          <w:i w:val="0"/>
        </w:rPr>
        <w:t>- Chi ngân sách cấp xã:                                                              1.670.441 triệu đồng.</w:t>
      </w:r>
    </w:p>
    <w:p>
      <w:r>
        <w:rPr>
          <w:b w:val="0"/>
          <w:i w:val="0"/>
        </w:rPr>
        <w:t>b. Phân bổ chi ngân sách địa phương cho các lĩnh vực:</w:t>
      </w:r>
    </w:p>
    <w:p>
      <w:r>
        <w:rPr>
          <w:b w:val="0"/>
          <w:i w:val="0"/>
        </w:rPr>
        <w:t>- Chi phát triển kinh tế:                                                                2.873.841 triệu đồng.</w:t>
      </w:r>
    </w:p>
    <w:p>
      <w:r>
        <w:rPr>
          <w:b w:val="0"/>
          <w:i w:val="0"/>
        </w:rPr>
        <w:t>+ Chi đầu tư xây dựng cơ bản:                                                  2.026.900 triệu đồng.</w:t>
      </w:r>
    </w:p>
    <w:p>
      <w:r>
        <w:rPr>
          <w:b w:val="0"/>
          <w:i w:val="0"/>
        </w:rPr>
        <w:t>+ Chi sự nghiệp tài nguyên và môi trường:                            202.906 triệu đồng.</w:t>
      </w:r>
    </w:p>
    <w:p>
      <w:r>
        <w:rPr>
          <w:b w:val="0"/>
          <w:i w:val="0"/>
        </w:rPr>
        <w:t>+ Chi trợ giá:                                                                                 10.000 triệu đồng.</w:t>
      </w:r>
    </w:p>
    <w:p>
      <w:r>
        <w:rPr>
          <w:b w:val="0"/>
          <w:i w:val="0"/>
        </w:rPr>
        <w:t>+ Chi sự nghiệp kinh tế:                                                             629.035 triệu đồng.</w:t>
      </w:r>
    </w:p>
    <w:p>
      <w:r>
        <w:rPr>
          <w:b w:val="0"/>
          <w:i w:val="0"/>
        </w:rPr>
        <w:t>+ Chi quy hoạch:                                                                           5.000 triệu đồng.</w:t>
      </w:r>
    </w:p>
    <w:p>
      <w:r>
        <w:rPr>
          <w:b w:val="0"/>
          <w:i w:val="0"/>
        </w:rPr>
        <w:t>- Chi tiêu dùng thường xuyên:                                                     5.185.277 triệu đồng.</w:t>
      </w:r>
    </w:p>
    <w:p>
      <w:r>
        <w:rPr>
          <w:b w:val="0"/>
          <w:i w:val="0"/>
        </w:rPr>
        <w:t>- Chi bổ sung Quỹ dự trữ tài chính:                                             1.450 triệu đồng.</w:t>
      </w:r>
    </w:p>
    <w:p>
      <w:r>
        <w:rPr>
          <w:b w:val="0"/>
          <w:i w:val="0"/>
        </w:rPr>
        <w:t>- Chi dự phòng ngân sách:                                                          201.580 triệu đồng.</w:t>
      </w:r>
    </w:p>
    <w:p>
      <w:r>
        <w:rPr>
          <w:b w:val="0"/>
          <w:i w:val="0"/>
        </w:rPr>
        <w:t>- Chi Chương trình mục tiêu quốc gia:                                         92.830 triệu đồng.</w:t>
      </w:r>
    </w:p>
    <w:p>
      <w:r>
        <w:rPr>
          <w:b w:val="0"/>
          <w:i w:val="0"/>
        </w:rPr>
        <w:t>c. Phân bổ ngân sách cấp tỉnh:                                                   3.544.552 triệu đồng.</w:t>
      </w:r>
    </w:p>
    <w:p>
      <w:r>
        <w:rPr>
          <w:b w:val="0"/>
          <w:i w:val="0"/>
        </w:rPr>
        <w:t>- Chi phát triển kinh tế:                                                               1.849.762 triệu đồng.</w:t>
      </w:r>
    </w:p>
    <w:p>
      <w:r>
        <w:rPr>
          <w:b w:val="0"/>
          <w:i w:val="0"/>
        </w:rPr>
        <w:t>+ Chi đầu tư xây dựng cơ bản:                                                   1.448.400 triệu đồng.</w:t>
      </w:r>
    </w:p>
    <w:p>
      <w:r>
        <w:rPr>
          <w:b w:val="0"/>
          <w:i w:val="0"/>
        </w:rPr>
        <w:t>+ Chi sự nghiệp tài nguyên và môi trường:                              77.515 triệu đồng.</w:t>
      </w:r>
    </w:p>
    <w:p>
      <w:r>
        <w:rPr>
          <w:b w:val="0"/>
          <w:i w:val="0"/>
        </w:rPr>
        <w:t>+ Chi trợ giá:                                                                                   10.000 triệu đồng.</w:t>
      </w:r>
    </w:p>
    <w:p>
      <w:r>
        <w:rPr>
          <w:b w:val="0"/>
          <w:i w:val="0"/>
        </w:rPr>
        <w:t>+ Chi sự nghiệp kinh tế:                                                             308.847 triệu đồng.</w:t>
      </w:r>
    </w:p>
    <w:p>
      <w:r>
        <w:rPr>
          <w:b w:val="0"/>
          <w:i w:val="0"/>
        </w:rPr>
        <w:t>+ Chi quy hoạch:                                                                            5.000 triệu đồng.</w:t>
      </w:r>
    </w:p>
    <w:p>
      <w:r>
        <w:rPr>
          <w:b w:val="0"/>
          <w:i w:val="0"/>
        </w:rPr>
        <w:t>- Chi tiêu dùng thường xuyên:                                                     1.438.684 triệu đồng.</w:t>
      </w:r>
    </w:p>
    <w:p>
      <w:r>
        <w:rPr>
          <w:b w:val="0"/>
          <w:i w:val="0"/>
        </w:rPr>
        <w:t>- Chi bổ sung Quỹ dự trữ tài chính:                                             1.450 triệu đồng.</w:t>
      </w:r>
    </w:p>
    <w:p>
      <w:r>
        <w:rPr>
          <w:b w:val="0"/>
          <w:i w:val="0"/>
        </w:rPr>
        <w:t>- Chi dự phòng ngân sách:                                                          161.826 triệu đồng.</w:t>
      </w:r>
    </w:p>
    <w:p>
      <w:r>
        <w:rPr>
          <w:b w:val="0"/>
          <w:i w:val="0"/>
        </w:rPr>
        <w:t>- Chi Chương trình mục tiêu quốc gia:                                         92.830 triệu đồng.</w:t>
      </w:r>
    </w:p>
    <w:p>
      <w:r>
        <w:rPr>
          <w:b w:val="0"/>
          <w:i w:val="0"/>
        </w:rPr>
        <w:t xml:space="preserve">Phân bổ dự toán chi cho các ngành, địa phương và các đơn vị thụ hưởng ngân sách </w:t>
      </w:r>
      <w:r>
        <w:rPr>
          <w:b w:val="0"/>
          <w:i/>
        </w:rPr>
        <w:t>(có phụ lục kèm theo)</w:t>
      </w:r>
      <w:r>
        <w:rPr>
          <w:b w:val="0"/>
          <w:i w:val="0"/>
        </w:rPr>
        <w:t>.</w:t>
      </w:r>
    </w:p>
    <w:p>
      <w:r>
        <w:rPr>
          <w:b w:val="0"/>
          <w:i w:val="0"/>
        </w:rPr>
        <w:t>Ngân sách các cấp bố trí nguồn thực hiện cải cách tiền lương năm 2015 theo quy định của Bộ Tài chính; thực hiện tiết kiệm thêm 10% chi thường xuyên (trừ các khoản tiền lương, phụ cấp theo lương và các khoản chi cho con người theo chế độ) ngay từ khâu dự toán và giữ lại phần tiết kiệm ở các cấp ngân sách trước khi giao dự toán cho cơ quan, đơn vị địa phương để tạo nguồn xây dựng nông thôn mới theo Quyết định số 717/QĐ-UBND ngày 09 tháng 4 năm 2012 của Ủy ban nhân dân tỉnh phê duyệt Phương án huy động nguồn vốn hỗ trợ xây dựng nông thôn mới giai đoạn 2012-2015.</w:t>
      </w:r>
    </w:p>
    <w:p>
      <w:r>
        <w:rPr>
          <w:b/>
          <w:i w:val="0"/>
        </w:rPr>
        <w:t xml:space="preserve">Điều 2. </w:t>
      </w:r>
      <w:r>
        <w:rPr>
          <w:b w:val="0"/>
          <w:i w:val="0"/>
        </w:rPr>
        <w:t>Hội đồng nhân dân tỉnh giao Ủy ban nhân dân tỉnh tổ chức triển khai, thực hiện Nghị quyết.</w:t>
      </w:r>
    </w:p>
    <w:p>
      <w:r>
        <w:rPr>
          <w:b w:val="0"/>
          <w:i w:val="0"/>
        </w:rPr>
        <w:t>Trong quá trình điều hành nếu phát sinh những vấn đề ngoài dự toán đã được Hội đồng nhân dân tỉnh phê duyệt và các nguồn vốn bổ sung chưa được phân bổ chi tiết cho từng danh mục dự án, Ủy ban nhân dân tỉnh thống nhất với Thường trực Hội đồng nhân dân tỉnh để phân bổ và báo cáo Hội đồng nhân dân tỉnh tại kỳ họp gần nhất.</w:t>
      </w:r>
    </w:p>
    <w:p>
      <w:r>
        <w:rPr>
          <w:b/>
          <w:i w:val="0"/>
        </w:rPr>
        <w:t xml:space="preserve">Điều 3. </w:t>
      </w:r>
      <w:r>
        <w:rPr>
          <w:b w:val="0"/>
          <w:i w:val="0"/>
        </w:rPr>
        <w:t>Thường trực Hội đồng nhân dân, các Ban Hội đồng nhân dân, đại biểu Hội đồng nhân dân tỉnh giám sát việc tổ chức triển khai, thực hiện Nghị quyết.</w:t>
      </w:r>
    </w:p>
    <w:p>
      <w:r>
        <w:rPr>
          <w:b w:val="0"/>
          <w:i w:val="0"/>
        </w:rPr>
        <w:t>Nghị quyết này đã được Hội đồng nhân dân tỉnh Thái Bình khóa XV, Kỳ họp thứ chín thông qua ngày 05 tháng 12 năm 2014 và có hiệu lực thi hành sau 10 ngày kể từ ngày thông qua./.</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CHỦ TỊCH</w:t>
            </w:r>
            <w:r>
              <w:rPr>
                <w:b w:val="0"/>
                <w:i w:val="0"/>
              </w:rPr>
              <w:br/>
            </w:r>
            <w:r>
              <w:rPr>
                <w:b/>
                <w:i/>
              </w:rPr>
              <w:t>(Đã ký)</w:t>
            </w:r>
            <w:r>
              <w:rPr>
                <w:b w:val="0"/>
                <w:i w:val="0"/>
              </w:rPr>
              <w:br/>
            </w:r>
            <w:r>
              <w:rPr>
                <w:b/>
                <w:i w:val="0"/>
              </w:rPr>
              <w:t>Nguyễn Hồng Diên</w:t>
            </w:r>
          </w:p>
        </w:tc>
      </w:tr>
    </w:tbl>
    <w:p>
      <w:pPr>
        <w:jc w:val="center"/>
      </w:pPr>
      <w:r>
        <w:rPr>
          <w:b/>
          <w:i w:val="0"/>
        </w:rPr>
        <w:t>PHÂN BỔ KINH PHÍ CÁC ĐƠN VỊ THỤ HƯỞNG NGÂN SÁCH CẤP TỈNH NĂM 2015</w:t>
      </w:r>
    </w:p>
    <w:p>
      <w:pPr>
        <w:jc w:val="center"/>
      </w:pPr>
      <w:r>
        <w:rPr>
          <w:b w:val="0"/>
          <w:i/>
        </w:rPr>
        <w:t>(Kèm theo Nghị quyết số 30/2014/NQ-HĐND ngày 05/12/2014 của HĐND tỉnh khóa XV)</w:t>
      </w:r>
    </w:p>
    <w:p>
      <w:pPr>
        <w:jc w:val="right"/>
      </w:pPr>
      <w:r>
        <w:rPr>
          <w:b w:val="0"/>
          <w:i/>
        </w:rPr>
        <w:t>Đơn vị tính: Nghìn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DỰ TOÁN</w:t>
            </w:r>
            <w:r>
              <w:br/>
            </w:r>
            <w:r>
              <w:rPr>
                <w:b/>
                <w:i w:val="0"/>
              </w:rPr>
              <w:br/>
              <w:t xml:space="preserve">           CHI NS</w:t>
            </w:r>
            <w:r>
              <w:br/>
            </w:r>
            <w:r>
              <w:rPr>
                <w:b/>
                <w:i w:val="0"/>
              </w:rPr>
              <w:br/>
              <w:t xml:space="preserve">           NĂM 2015</w:t>
            </w:r>
          </w:p>
        </w:tc>
        <w:tc>
          <w:tcPr>
            <w:tcW w:type="dxa" w:w="2160"/>
          </w:tcPr>
          <w:p>
            <w:r>
              <w:rPr>
                <w:b w:val="0"/>
                <w:i w:val="0"/>
              </w:rPr>
              <w:br/>
            </w:r>
            <w:r>
              <w:rPr>
                <w:b/>
                <w:i w:val="0"/>
              </w:rPr>
              <w:t>GHI CHÚ</w:t>
            </w:r>
          </w:p>
        </w:tc>
      </w:tr>
    </w:tbl>
    <w:p>
      <w:pPr>
        <w:jc w:val="center"/>
      </w:pPr>
      <w:r>
        <w:rPr>
          <w:b/>
          <w:i w:val="0"/>
        </w:rPr>
        <w:t>DỰ TOÁN</w:t>
      </w:r>
    </w:p>
    <w:p>
      <w:pPr>
        <w:jc w:val="center"/>
      </w:pPr>
      <w:r>
        <w:rPr>
          <w:b w:val="0"/>
          <w:i w:val="0"/>
        </w:rPr>
        <w:t>BỔ SUNG NGÂN SÁCH HUYỆN, THÀNH PHỐ NĂM 2015</w:t>
      </w:r>
      <w:r>
        <w:br/>
      </w:r>
      <w:r>
        <w:rPr>
          <w:b w:val="0"/>
          <w:i/>
        </w:rPr>
        <w:t>(Kèm theo Nghị quyết số 30/2014/NQ-HĐND ngày 05/12/2014 của HĐND tỉnh khóa XV)</w:t>
      </w:r>
    </w:p>
    <w:p>
      <w:pPr>
        <w:jc w:val="right"/>
      </w:pPr>
      <w:r>
        <w:rPr>
          <w:b w:val="0"/>
          <w:i/>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Huyện, thành phố</w:t>
            </w:r>
          </w:p>
        </w:tc>
        <w:tc>
          <w:tcPr>
            <w:tcW w:type="dxa" w:w="1440"/>
          </w:tcPr>
          <w:p>
            <w:r>
              <w:rPr>
                <w:b w:val="0"/>
                <w:i w:val="0"/>
              </w:rPr>
              <w:br/>
            </w:r>
            <w:r>
              <w:rPr>
                <w:b w:val="0"/>
                <w:i w:val="0"/>
              </w:rPr>
              <w:t>Thu NSNN trên địa bàn</w:t>
            </w:r>
          </w:p>
        </w:tc>
        <w:tc>
          <w:tcPr>
            <w:tcW w:type="dxa" w:w="1440"/>
          </w:tcPr>
          <w:p>
            <w:r>
              <w:rPr>
                <w:b w:val="0"/>
                <w:i w:val="0"/>
              </w:rPr>
              <w:br/>
            </w:r>
            <w:r>
              <w:rPr>
                <w:b w:val="0"/>
                <w:i w:val="0"/>
              </w:rPr>
              <w:t>Tổng chi ngân sách huyện, thành phố</w:t>
            </w:r>
          </w:p>
        </w:tc>
        <w:tc>
          <w:tcPr>
            <w:tcW w:type="dxa" w:w="1440"/>
          </w:tcPr>
          <w:p>
            <w:r>
              <w:rPr>
                <w:b w:val="0"/>
                <w:i w:val="0"/>
              </w:rPr>
              <w:br/>
            </w:r>
            <w:r>
              <w:rPr>
                <w:b w:val="0"/>
                <w:i w:val="0"/>
              </w:rPr>
              <w:t>Tổng mức bổ sung ngân sách huyện, thành phố</w:t>
            </w:r>
          </w:p>
        </w:tc>
        <w:tc>
          <w:tcPr>
            <w:tcW w:type="dxa" w:w="1440"/>
          </w:tcPr>
          <w:p>
            <w:r>
              <w:rPr>
                <w:b w:val="0"/>
                <w:i w:val="0"/>
              </w:rPr>
              <w:br/>
            </w:r>
            <w:r>
              <w:rPr>
                <w:b w:val="0"/>
                <w:i w:val="0"/>
              </w:rPr>
              <w:t>Trong đó</w:t>
            </w:r>
          </w:p>
        </w:tc>
      </w:tr>
    </w:tbl>
    <w:p>
      <w:pPr>
        <w:jc w:val="center"/>
      </w:pPr>
      <w:r>
        <w:rPr>
          <w:b/>
          <w:i w:val="0"/>
        </w:rPr>
        <w:t>PHÂN BỔ KINH PHÍ TĂNG CƯỜNG CƠ SỞ VẬT CHẤT GIÁO DỤC NĂM 2015</w:t>
      </w:r>
    </w:p>
    <w:p>
      <w:pPr>
        <w:jc w:val="center"/>
      </w:pPr>
      <w:r>
        <w:rPr>
          <w:b w:val="0"/>
          <w:i/>
        </w:rPr>
        <w:t>(Ban hành kèm theo Nghị quyết số: 30/2014/NQ-HĐND ngày 05/12/2014 của Hội đồng nhân dân tỉnh khóa XV)</w:t>
      </w:r>
    </w:p>
    <w:p>
      <w:pPr>
        <w:jc w:val="right"/>
      </w:pPr>
      <w:r>
        <w:rPr>
          <w:b w:val="0"/>
          <w:i/>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Đơn vị</w:t>
            </w:r>
          </w:p>
        </w:tc>
        <w:tc>
          <w:tcPr>
            <w:tcW w:type="dxa" w:w="2160"/>
          </w:tcPr>
          <w:p>
            <w:r>
              <w:rPr>
                <w:b w:val="0"/>
                <w:i w:val="0"/>
              </w:rPr>
              <w:br/>
            </w:r>
            <w:r>
              <w:rPr>
                <w:b/>
                <w:i w:val="0"/>
              </w:rPr>
              <w:t>Số phòng hỗ trợ</w:t>
            </w:r>
          </w:p>
        </w:tc>
        <w:tc>
          <w:tcPr>
            <w:tcW w:type="dxa" w:w="2160"/>
          </w:tcPr>
          <w:p>
            <w:r>
              <w:rPr>
                <w:b w:val="0"/>
                <w:i w:val="0"/>
              </w:rPr>
              <w:br/>
            </w:r>
            <w:r>
              <w:rPr>
                <w:b/>
                <w:i w:val="0"/>
              </w:rPr>
              <w:t>Số tiền hỗ trợ</w:t>
            </w:r>
          </w:p>
        </w:tc>
      </w:tr>
    </w:tbl>
    <w:p>
      <w:pPr>
        <w:jc w:val="center"/>
      </w:pPr>
      <w:r>
        <w:rPr>
          <w:b/>
          <w:i w:val="0"/>
        </w:rPr>
        <w:t>PHÂN BỔ CHI TIẾT VỐN SỬA CHỮA LỚN NĂM 2015</w:t>
      </w:r>
    </w:p>
    <w:p>
      <w:pPr>
        <w:jc w:val="center"/>
      </w:pPr>
      <w:r>
        <w:rPr>
          <w:b w:val="0"/>
          <w:i/>
        </w:rPr>
        <w:t>(Ban hành kèm theo Nghị quyết số: 30/2014/NQ-HĐND ngày 05/12/2014 của Hội đồng nhân dân tỉnh khóa XV)</w:t>
      </w:r>
    </w:p>
    <w:p>
      <w:pPr>
        <w:jc w:val="right"/>
      </w:pPr>
      <w:r>
        <w:rPr>
          <w:b w:val="0"/>
          <w:i/>
        </w:rPr>
        <w:t>Đơn vị tính: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đơn vị</w:t>
            </w:r>
          </w:p>
        </w:tc>
        <w:tc>
          <w:tcPr>
            <w:tcW w:type="dxa" w:w="2160"/>
          </w:tcPr>
          <w:p>
            <w:r>
              <w:rPr>
                <w:b w:val="0"/>
                <w:i w:val="0"/>
              </w:rPr>
              <w:br/>
            </w:r>
            <w:r>
              <w:rPr>
                <w:b/>
                <w:i w:val="0"/>
              </w:rPr>
              <w:t>Nội dung công việc được bố trí kinh phí</w:t>
            </w:r>
          </w:p>
        </w:tc>
        <w:tc>
          <w:tcPr>
            <w:tcW w:type="dxa" w:w="2160"/>
          </w:tcPr>
          <w:p>
            <w:r>
              <w:rPr>
                <w:b w:val="0"/>
                <w:i w:val="0"/>
              </w:rPr>
              <w:br/>
            </w:r>
            <w:r>
              <w:rPr>
                <w:b/>
                <w:i w:val="0"/>
              </w:rPr>
              <w:t>Số tiền</w:t>
            </w:r>
          </w:p>
        </w:tc>
      </w:tr>
    </w:tbl>
    <w:p>
      <w:pPr>
        <w:jc w:val="center"/>
      </w:pPr>
      <w:r>
        <w:rPr>
          <w:b/>
          <w:i w:val="0"/>
        </w:rPr>
        <w:t>PHỤ LỤC 01</w:t>
      </w:r>
    </w:p>
    <w:p>
      <w:pPr>
        <w:jc w:val="center"/>
      </w:pPr>
      <w:r>
        <w:rPr>
          <w:b w:val="0"/>
          <w:i w:val="0"/>
        </w:rPr>
        <w:t>PHÂN BỔ CHI TIẾT KINH PHÍ CHƯƠNG TRÌNH BỐ TRÍ SẮP XẾP DÂN CƯ 2015</w:t>
      </w:r>
    </w:p>
    <w:p>
      <w:pPr>
        <w:jc w:val="right"/>
      </w:pPr>
      <w:r>
        <w:rPr>
          <w:b w:val="0"/>
          <w:i/>
        </w:rPr>
        <w:t>Đơn vị tính: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Số tiền</w:t>
            </w:r>
          </w:p>
        </w:tc>
        <w:tc>
          <w:tcPr>
            <w:tcW w:type="dxa" w:w="1728"/>
          </w:tcPr>
          <w:p>
            <w:r>
              <w:rPr>
                <w:b w:val="0"/>
                <w:i w:val="0"/>
              </w:rPr>
              <w:br/>
            </w:r>
            <w:r>
              <w:rPr>
                <w:b/>
                <w:i w:val="0"/>
              </w:rPr>
              <w:t>Đơn vị thực hiện</w:t>
            </w:r>
          </w:p>
        </w:tc>
        <w:tc>
          <w:tcPr>
            <w:tcW w:type="dxa" w:w="1728"/>
          </w:tcPr>
          <w:p>
            <w:r>
              <w:rPr>
                <w:b w:val="0"/>
                <w:i w:val="0"/>
              </w:rPr>
              <w:br/>
            </w:r>
            <w:r>
              <w:rPr>
                <w:b/>
                <w:i w:val="0"/>
              </w:rPr>
              <w:t>Ghi chú</w:t>
            </w:r>
          </w:p>
        </w:tc>
      </w:tr>
    </w:tbl>
    <w:p>
      <w:pPr>
        <w:jc w:val="center"/>
      </w:pPr>
      <w:r>
        <w:rPr>
          <w:b/>
          <w:i/>
        </w:rPr>
        <w:t>(Số tiền bằng chữ: Ba tỷ đồng chẵn).</w:t>
      </w:r>
    </w:p>
    <w:p>
      <w:pPr>
        <w:jc w:val="center"/>
      </w:pPr>
      <w:r>
        <w:rPr>
          <w:b/>
          <w:i w:val="0"/>
        </w:rPr>
        <w:t>PHỤ LỤC 02</w:t>
      </w:r>
    </w:p>
    <w:p>
      <w:pPr>
        <w:jc w:val="center"/>
      </w:pPr>
      <w:r>
        <w:rPr>
          <w:b w:val="0"/>
          <w:i w:val="0"/>
        </w:rPr>
        <w:t>PHÂN BỔ CHI TIẾT VỐN KHUYẾN NÔNG, KHUYẾN NGƯ NĂM 2015</w:t>
      </w:r>
    </w:p>
    <w:p>
      <w:pPr>
        <w:jc w:val="right"/>
      </w:pPr>
      <w:r>
        <w:rPr>
          <w:b w:val="0"/>
          <w:i/>
        </w:rPr>
        <w:t>Đơn vị tính :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chương trình</w:t>
            </w:r>
          </w:p>
        </w:tc>
        <w:tc>
          <w:tcPr>
            <w:tcW w:type="dxa" w:w="2160"/>
          </w:tcPr>
          <w:p>
            <w:r>
              <w:rPr>
                <w:b w:val="0"/>
                <w:i w:val="0"/>
              </w:rPr>
              <w:br/>
            </w:r>
            <w:r>
              <w:rPr>
                <w:b/>
                <w:i w:val="0"/>
              </w:rPr>
              <w:t>Kinh phí</w:t>
            </w:r>
          </w:p>
        </w:tc>
        <w:tc>
          <w:tcPr>
            <w:tcW w:type="dxa" w:w="2160"/>
          </w:tcPr>
          <w:p>
            <w:r>
              <w:rPr>
                <w:b w:val="0"/>
                <w:i w:val="0"/>
              </w:rPr>
              <w:br/>
            </w:r>
            <w:r>
              <w:rPr>
                <w:b/>
                <w:i w:val="0"/>
              </w:rPr>
              <w:t>Đơn vị thực hiện</w:t>
            </w:r>
          </w:p>
        </w:tc>
      </w:tr>
    </w:tbl>
    <w:p>
      <w:pPr>
        <w:jc w:val="center"/>
      </w:pPr>
      <w:r>
        <w:rPr>
          <w:b/>
          <w:i w:val="0"/>
        </w:rPr>
        <w:t>Bằng chữ: Bảy tỷ sáu trăm năm mươi triệu đồng chẵn</w:t>
      </w:r>
    </w:p>
    <w:p>
      <w:pPr>
        <w:jc w:val="center"/>
      </w:pPr>
      <w:r>
        <w:rPr>
          <w:b/>
          <w:i w:val="0"/>
        </w:rPr>
        <w:t>PHỤC LỤC 03</w:t>
      </w:r>
    </w:p>
    <w:p>
      <w:pPr>
        <w:jc w:val="center"/>
      </w:pPr>
      <w:r>
        <w:rPr>
          <w:b w:val="0"/>
          <w:i w:val="0"/>
        </w:rPr>
        <w:t>PHÂN BỔ CHI TIẾT VỐN KHUYẾN CÔNG, KHUYẾN THƯƠNG NĂM 2015</w:t>
      </w:r>
    </w:p>
    <w:p>
      <w:pPr>
        <w:jc w:val="right"/>
      </w:pPr>
      <w:r>
        <w:rPr>
          <w:b w:val="0"/>
          <w:i/>
        </w:rPr>
        <w:t>Đơn vị tính: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dự án</w:t>
            </w:r>
          </w:p>
        </w:tc>
        <w:tc>
          <w:tcPr>
            <w:tcW w:type="dxa" w:w="1440"/>
          </w:tcPr>
          <w:p>
            <w:r>
              <w:rPr>
                <w:b w:val="0"/>
                <w:i w:val="0"/>
              </w:rPr>
              <w:br/>
            </w:r>
            <w:r>
              <w:rPr>
                <w:b/>
                <w:i w:val="0"/>
              </w:rPr>
              <w:t>Đơn vị thực hiện dự án</w:t>
            </w:r>
          </w:p>
        </w:tc>
        <w:tc>
          <w:tcPr>
            <w:tcW w:type="dxa" w:w="1440"/>
          </w:tcPr>
          <w:p>
            <w:r>
              <w:rPr>
                <w:b w:val="0"/>
                <w:i w:val="0"/>
              </w:rPr>
              <w:br/>
            </w:r>
            <w:r>
              <w:rPr>
                <w:b/>
                <w:i w:val="0"/>
              </w:rPr>
              <w:t>Địa điểm thực hiện</w:t>
            </w:r>
          </w:p>
        </w:tc>
        <w:tc>
          <w:tcPr>
            <w:tcW w:type="dxa" w:w="1440"/>
          </w:tcPr>
          <w:p>
            <w:r>
              <w:rPr>
                <w:b w:val="0"/>
                <w:i w:val="0"/>
              </w:rPr>
              <w:br/>
            </w:r>
            <w:r>
              <w:rPr>
                <w:b/>
                <w:i w:val="0"/>
              </w:rPr>
              <w:t>Mục tiêu của dự án</w:t>
            </w:r>
          </w:p>
        </w:tc>
        <w:tc>
          <w:tcPr>
            <w:tcW w:type="dxa" w:w="1440"/>
          </w:tcPr>
          <w:p>
            <w:r>
              <w:rPr>
                <w:b w:val="0"/>
                <w:i w:val="0"/>
              </w:rPr>
              <w:br/>
            </w:r>
            <w:r>
              <w:rPr>
                <w:b/>
                <w:i w:val="0"/>
              </w:rPr>
              <w:t>Kinh phí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