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Văn bản hợp nhất số 30/VBHN-BTC Về việc ban hành quy định tiêu chuẩn, định mức và chế độ quản lý, sử dụng phương tiện đi lại trong cơ quan nhà nước, đơn vị sự nghiệp công lập, công ty nhà nước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