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3133/QĐ-UBND năm 2007 về duyệt kế hoạch đấu thầu dự án đầu tư xây dựng tuyến đường sắt đô thị thành phố Hồ Chí Minh, tuyến Bến Thành - Suối Tiên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____________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w:t>
            </w:r>
          </w:p>
        </w:tc>
      </w:tr>
    </w:tbl>
    <w:p>
      <w:pPr>
        <w:jc w:val="center"/>
      </w:pPr>
      <w:r>
        <w:rPr>
          <w:b/>
          <w:i w:val="0"/>
        </w:rPr>
        <w:t>QUYẾT ĐỊNH</w:t>
      </w:r>
    </w:p>
    <w:p>
      <w:pPr>
        <w:jc w:val="center"/>
      </w:pPr>
      <w:r>
        <w:rPr>
          <w:b w:val="0"/>
          <w:i w:val="0"/>
        </w:rPr>
        <w:t xml:space="preserve">VỀ DUYỆT KẾ HOẠCH ĐẤU THẦU DỰ ÁN ĐẦU TƯ XÂY DỰNG TUYẾN ĐƯỜNG SẮT ĐÔ THỊ THÀNH </w:t>
      </w:r>
    </w:p>
    <w:p>
      <w:pPr>
        <w:jc w:val="center"/>
      </w:pPr>
      <w:r>
        <w:rPr>
          <w:b w:val="0"/>
          <w:i w:val="0"/>
        </w:rPr>
        <w:t>PHỐ HỒ CHÍ MINH, TUYẾN BẾN THÀNH - SUỐI TIÊN</w:t>
      </w:r>
    </w:p>
    <w:p>
      <w:pPr>
        <w:jc w:val="center"/>
      </w:pPr>
      <w:r>
        <w:rPr>
          <w:b/>
          <w:i w:val="0"/>
        </w:rPr>
        <w:t>CHỦ TỊCH ỦY BAN NHÂN DÂN THÀNH PHỐ HỒ CHÍ MINH</w:t>
      </w:r>
    </w:p>
    <w:p>
      <w:r>
        <w:rPr>
          <w:b w:val="0"/>
          <w:i/>
        </w:rPr>
        <w:t>Căn cứ Luật Tổ chức Hội đồng nhân dân và Ủy ban nhân dân ngày 26 tháng 11 năm 2003;</w:t>
      </w:r>
      <w:r>
        <w:br/>
      </w:r>
      <w:r>
        <w:rPr>
          <w:b w:val="0"/>
          <w:i/>
        </w:rPr>
        <w:br/>
        <w:t xml:space="preserve">       Căn cứ Luật Xây dựng ngày 26 tháng 11 năm 2003;</w:t>
      </w:r>
      <w:r>
        <w:br/>
      </w:r>
      <w:r>
        <w:rPr>
          <w:b w:val="0"/>
          <w:i/>
        </w:rPr>
        <w:br/>
        <w:t xml:space="preserve">       Căn cứ Luật Đấu thầu ngày 29 tháng 11 năm 2005;</w:t>
      </w:r>
      <w:r>
        <w:br/>
      </w:r>
      <w:r>
        <w:rPr>
          <w:b w:val="0"/>
          <w:i/>
        </w:rPr>
        <w:br/>
        <w:t xml:space="preserve">       Căn cứ Nghị định số 111/2006/NĐ-CP ngày 29 tháng 09 năm 2006 của Chính phủ hướng dẫn thi hành Luật Đấu thầu và lựa chọn nhà thầu xây dựng theo Luật Xây dựng;</w:t>
      </w:r>
      <w:r>
        <w:br/>
      </w:r>
      <w:r>
        <w:rPr>
          <w:b w:val="0"/>
          <w:i/>
        </w:rPr>
        <w:br/>
        <w:t xml:space="preserve">       Căn cứ Nghị định số 131/2006/NĐ-CP ngày 09 tháng 11 năm 2006 của Chính phủ ban hành Quy chế quản lý và sử dụng nguồn hỗ trợ phát triển chính thức;</w:t>
      </w:r>
      <w:r>
        <w:br/>
      </w:r>
      <w:r>
        <w:rPr>
          <w:b w:val="0"/>
          <w:i/>
        </w:rPr>
        <w:br/>
        <w:t xml:space="preserve">       Căn cứ Hiệp định vay vốn được ký kết giữa đại diện Chính phủ nước Cộng hòa xã hội chủ nghĩa Việt Nam và Ngân hàng Hợp tác Quốc tế Nhật Bản (JBIC) ngày 30 tháng 03 năm 2007;</w:t>
      </w:r>
      <w:r>
        <w:br/>
      </w:r>
      <w:r>
        <w:rPr>
          <w:b w:val="0"/>
          <w:i/>
        </w:rPr>
        <w:br/>
        <w:t xml:space="preserve">       Căn cứ Quyết định số 1453/QĐ-UBND ngày 06 tháng 04 năm 2007 của Ủy ban nhân dân thành phố phê duyệt Dự án đầu tư xây dựng tuyến đường sắt đô thị thành phố Hồ Chí Minh, tuyến Bến Thành - Suối Tiên; </w:t>
      </w:r>
      <w:r>
        <w:br/>
      </w:r>
      <w:r>
        <w:rPr>
          <w:b w:val="0"/>
          <w:i/>
        </w:rPr>
        <w:br/>
        <w:t xml:space="preserve">       Xét đề nghị của Khu Quản lý Đường sắt đô thị (Tờ trình số 08/KQLĐSĐT-KH ngày 17 tháng 4 năm 2007 và các Công văn số 76/KQLĐSĐT-KH ngày 05 tháng 06 năm 2007, Công văn số 83/KQLĐSĐT-KH ngày 11 tháng 06 năm 2007 và Công văn số 116/KQLĐSĐT-KHĐT ngày 21 tháng 06 năm 2007);</w:t>
      </w:r>
      <w:r>
        <w:br/>
      </w:r>
      <w:r>
        <w:rPr>
          <w:b w:val="0"/>
          <w:i/>
        </w:rPr>
        <w:br/>
        <w:t xml:space="preserve">       Theo đề nghị của Giám đốc Sở Kế hoạch và Đầu tư (Tờ trình số 3753/TTr-SKHĐT ngày 03 tháng 7 năm 2007</w:t>
      </w:r>
      <w:r>
        <w:rPr>
          <w:b w:val="0"/>
          <w:i w:val="0"/>
        </w:rPr>
        <w:t>),</w:t>
      </w:r>
    </w:p>
    <w:p>
      <w:pPr>
        <w:jc w:val="center"/>
      </w:pPr>
      <w:r>
        <w:rPr>
          <w:b/>
          <w:i w:val="0"/>
        </w:rPr>
        <w:t>QUYẾT ĐỊNH:</w:t>
      </w:r>
    </w:p>
    <w:p>
      <w:r>
        <w:rPr>
          <w:b/>
          <w:i w:val="0"/>
        </w:rPr>
        <w:t>Điều 1.</w:t>
      </w:r>
      <w:r>
        <w:rPr>
          <w:b w:val="0"/>
          <w:i w:val="0"/>
        </w:rPr>
        <w:t xml:space="preserve"> Duyệt Kế hoạch đấu thầu của dự án đầu tư xây dựng tuyến đường sắt đô thị thành phố Hồ Chí Minh, tuyến Bến Thành - Suối Tiên, sử dụng nguồn vốn vay của Ngân hàng Hợp tác Quốc tế Nhật Bản (JBIC) với những nội dung chính như sau:</w:t>
      </w:r>
    </w:p>
    <w:p>
      <w:r>
        <w:rPr>
          <w:b w:val="0"/>
          <w:i w:val="0"/>
        </w:rPr>
        <w:t>1. Phần công việc đã thực hiện: 7.549.244.807 đồng.</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Số thứ tự</w:t>
            </w:r>
          </w:p>
        </w:tc>
        <w:tc>
          <w:tcPr>
            <w:tcW w:type="dxa" w:w="1080"/>
          </w:tcPr>
          <w:p>
            <w:r>
              <w:rPr>
                <w:b w:val="0"/>
                <w:i w:val="0"/>
              </w:rPr>
              <w:br/>
            </w:r>
            <w:r>
              <w:rPr>
                <w:b w:val="0"/>
                <w:i w:val="0"/>
              </w:rPr>
              <w:t>Nội dung công việc</w:t>
            </w:r>
          </w:p>
        </w:tc>
        <w:tc>
          <w:tcPr>
            <w:tcW w:type="dxa" w:w="1080"/>
          </w:tcPr>
          <w:p>
            <w:r>
              <w:rPr>
                <w:b w:val="0"/>
                <w:i w:val="0"/>
              </w:rPr>
              <w:br/>
            </w:r>
            <w:r>
              <w:rPr>
                <w:b w:val="0"/>
                <w:i w:val="0"/>
              </w:rPr>
              <w:t>Nguồn vốn</w:t>
            </w:r>
          </w:p>
        </w:tc>
        <w:tc>
          <w:tcPr>
            <w:tcW w:type="dxa" w:w="1080"/>
          </w:tcPr>
          <w:p>
            <w:r>
              <w:rPr>
                <w:b w:val="0"/>
                <w:i w:val="0"/>
              </w:rPr>
              <w:br/>
            </w:r>
            <w:r>
              <w:rPr>
                <w:b w:val="0"/>
                <w:i w:val="0"/>
              </w:rPr>
              <w:t>Giá trị (đồng)</w:t>
            </w:r>
          </w:p>
        </w:tc>
        <w:tc>
          <w:tcPr>
            <w:tcW w:type="dxa" w:w="1080"/>
          </w:tcPr>
          <w:p>
            <w:r>
              <w:rPr>
                <w:b w:val="0"/>
                <w:i w:val="0"/>
              </w:rPr>
              <w:br/>
            </w:r>
            <w:r>
              <w:rPr>
                <w:b w:val="0"/>
                <w:i w:val="0"/>
              </w:rPr>
              <w:t>Hình thức lựa chọn nhà thầu</w:t>
            </w:r>
          </w:p>
        </w:tc>
        <w:tc>
          <w:tcPr>
            <w:tcW w:type="dxa" w:w="1080"/>
          </w:tcPr>
          <w:p>
            <w:r>
              <w:rPr>
                <w:b w:val="0"/>
                <w:i w:val="0"/>
              </w:rPr>
              <w:br/>
            </w:r>
            <w:r>
              <w:rPr>
                <w:b w:val="0"/>
                <w:i w:val="0"/>
              </w:rPr>
              <w:t>Tên đơn vị thực hiện</w:t>
            </w:r>
          </w:p>
        </w:tc>
        <w:tc>
          <w:tcPr>
            <w:tcW w:type="dxa" w:w="1080"/>
          </w:tcPr>
          <w:p>
            <w:r>
              <w:rPr>
                <w:b w:val="0"/>
                <w:i w:val="0"/>
              </w:rPr>
              <w:br/>
            </w:r>
            <w:r>
              <w:rPr>
                <w:b w:val="0"/>
                <w:i w:val="0"/>
              </w:rPr>
              <w:t>Hình thức hợp đồng</w:t>
            </w:r>
          </w:p>
        </w:tc>
        <w:tc>
          <w:tcPr>
            <w:tcW w:type="dxa" w:w="1080"/>
          </w:tcPr>
          <w:p>
            <w:r>
              <w:rPr>
                <w:b w:val="0"/>
                <w:i w:val="0"/>
              </w:rPr>
              <w:br/>
            </w:r>
            <w:r>
              <w:rPr>
                <w:b w:val="0"/>
                <w:i w:val="0"/>
              </w:rPr>
              <w:t>Thời gian thực hiện</w:t>
            </w:r>
          </w:p>
        </w:tc>
      </w:tr>
    </w:tbl>
    <w:p>
      <w:r>
        <w:rPr>
          <w:b w:val="0"/>
          <w:i w:val="0"/>
        </w:rPr>
        <w:t>2. Phần công việc không đấu thầu: 4.484.443.503.882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thứ tự</w:t>
            </w:r>
          </w:p>
        </w:tc>
        <w:tc>
          <w:tcPr>
            <w:tcW w:type="dxa" w:w="1728"/>
          </w:tcPr>
          <w:p>
            <w:r>
              <w:rPr>
                <w:b w:val="0"/>
                <w:i w:val="0"/>
              </w:rPr>
              <w:br/>
            </w:r>
            <w:r>
              <w:rPr>
                <w:b w:val="0"/>
                <w:i w:val="0"/>
              </w:rPr>
              <w:t>Nội dung công việc</w:t>
            </w:r>
          </w:p>
        </w:tc>
        <w:tc>
          <w:tcPr>
            <w:tcW w:type="dxa" w:w="1728"/>
          </w:tcPr>
          <w:p>
            <w:r>
              <w:rPr>
                <w:b w:val="0"/>
                <w:i w:val="0"/>
              </w:rPr>
              <w:br/>
            </w:r>
            <w:r>
              <w:rPr>
                <w:b w:val="0"/>
                <w:i w:val="0"/>
              </w:rPr>
              <w:t>Nguồn vốn</w:t>
            </w:r>
          </w:p>
        </w:tc>
        <w:tc>
          <w:tcPr>
            <w:tcW w:type="dxa" w:w="1728"/>
          </w:tcPr>
          <w:p>
            <w:r>
              <w:rPr>
                <w:b w:val="0"/>
                <w:i w:val="0"/>
              </w:rPr>
              <w:br/>
            </w:r>
            <w:r>
              <w:rPr>
                <w:b w:val="0"/>
                <w:i w:val="0"/>
              </w:rPr>
              <w:t>Giá trị (đồng)</w:t>
            </w:r>
          </w:p>
        </w:tc>
        <w:tc>
          <w:tcPr>
            <w:tcW w:type="dxa" w:w="1728"/>
          </w:tcPr>
          <w:p>
            <w:r>
              <w:rPr>
                <w:b w:val="0"/>
                <w:i w:val="0"/>
              </w:rPr>
              <w:br/>
            </w:r>
            <w:r>
              <w:rPr>
                <w:b w:val="0"/>
                <w:i w:val="0"/>
              </w:rPr>
              <w:t>Ghi chú</w:t>
            </w:r>
          </w:p>
        </w:tc>
      </w:tr>
    </w:tbl>
    <w:p>
      <w:r>
        <w:rPr>
          <w:b w:val="0"/>
          <w:i w:val="0"/>
        </w:rPr>
        <w:t>3. Phần công việc tổ chức đấu thầu: 12.805.695.158.545 đồng.</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Số thứ tự</w:t>
            </w:r>
            <w:r>
              <w:rPr>
                <w:b w:val="0"/>
                <w:i w:val="0"/>
              </w:rPr>
              <w:br/>
            </w:r>
            <w:r>
              <w:rPr>
                <w:b w:val="0"/>
                <w:i w:val="0"/>
              </w:rPr>
              <w:t xml:space="preserve"> </w:t>
            </w:r>
          </w:p>
        </w:tc>
        <w:tc>
          <w:tcPr>
            <w:tcW w:type="dxa" w:w="960"/>
          </w:tcPr>
          <w:p>
            <w:r>
              <w:rPr>
                <w:b w:val="0"/>
                <w:i w:val="0"/>
              </w:rPr>
              <w:br/>
            </w:r>
            <w:r>
              <w:rPr>
                <w:b w:val="0"/>
                <w:i w:val="0"/>
              </w:rPr>
              <w:t>Tên gói thầu</w:t>
            </w:r>
          </w:p>
        </w:tc>
        <w:tc>
          <w:tcPr>
            <w:tcW w:type="dxa" w:w="960"/>
          </w:tcPr>
          <w:p>
            <w:r>
              <w:rPr>
                <w:b w:val="0"/>
                <w:i w:val="0"/>
              </w:rPr>
              <w:br/>
            </w:r>
            <w:r>
              <w:rPr>
                <w:b w:val="0"/>
                <w:i w:val="0"/>
              </w:rPr>
              <w:t>Nguồn vốn</w:t>
            </w:r>
          </w:p>
        </w:tc>
        <w:tc>
          <w:tcPr>
            <w:tcW w:type="dxa" w:w="960"/>
          </w:tcPr>
          <w:p>
            <w:r>
              <w:rPr>
                <w:b w:val="0"/>
                <w:i w:val="0"/>
              </w:rPr>
              <w:br/>
            </w:r>
            <w:r>
              <w:rPr>
                <w:b w:val="0"/>
                <w:i w:val="0"/>
              </w:rPr>
              <w:t>Giá trị gói thầu (đồng)</w:t>
            </w:r>
          </w:p>
        </w:tc>
        <w:tc>
          <w:tcPr>
            <w:tcW w:type="dxa" w:w="960"/>
          </w:tcPr>
          <w:p>
            <w:r>
              <w:rPr>
                <w:b w:val="0"/>
                <w:i w:val="0"/>
              </w:rPr>
              <w:br/>
            </w:r>
            <w:r>
              <w:rPr>
                <w:b w:val="0"/>
                <w:i w:val="0"/>
              </w:rPr>
              <w:t>Hình thức lựa chọn nhà thầu</w:t>
            </w:r>
          </w:p>
        </w:tc>
        <w:tc>
          <w:tcPr>
            <w:tcW w:type="dxa" w:w="960"/>
          </w:tcPr>
          <w:p>
            <w:r>
              <w:rPr>
                <w:b w:val="0"/>
                <w:i w:val="0"/>
              </w:rPr>
              <w:br/>
            </w:r>
            <w:r>
              <w:rPr>
                <w:b w:val="0"/>
                <w:i w:val="0"/>
              </w:rPr>
              <w:t>Phương thức đấu thầu</w:t>
            </w:r>
          </w:p>
        </w:tc>
        <w:tc>
          <w:tcPr>
            <w:tcW w:type="dxa" w:w="960"/>
          </w:tcPr>
          <w:p>
            <w:r>
              <w:rPr>
                <w:b w:val="0"/>
                <w:i w:val="0"/>
              </w:rPr>
              <w:br/>
            </w:r>
            <w:r>
              <w:rPr>
                <w:b w:val="0"/>
                <w:i w:val="0"/>
              </w:rPr>
              <w:t>Thời gian lựa chọn nhà thầu</w:t>
            </w:r>
          </w:p>
        </w:tc>
        <w:tc>
          <w:tcPr>
            <w:tcW w:type="dxa" w:w="960"/>
          </w:tcPr>
          <w:p>
            <w:r>
              <w:rPr>
                <w:b w:val="0"/>
                <w:i w:val="0"/>
              </w:rPr>
              <w:br/>
            </w:r>
            <w:r>
              <w:rPr>
                <w:b w:val="0"/>
                <w:i w:val="0"/>
              </w:rPr>
              <w:t>Hình thức hợp đồng</w:t>
            </w:r>
          </w:p>
        </w:tc>
        <w:tc>
          <w:tcPr>
            <w:tcW w:type="dxa" w:w="960"/>
          </w:tcPr>
          <w:p>
            <w:r>
              <w:rPr>
                <w:b w:val="0"/>
                <w:i w:val="0"/>
              </w:rPr>
              <w:br/>
            </w:r>
            <w:r>
              <w:rPr>
                <w:b w:val="0"/>
                <w:i w:val="0"/>
              </w:rPr>
              <w:t>Thời gian thực hiện hợp đồng</w:t>
            </w:r>
          </w:p>
        </w:tc>
      </w:tr>
    </w:tbl>
    <w:p>
      <w:r>
        <w:rPr>
          <w:b w:val="0"/>
          <w:i w:val="0"/>
        </w:rPr>
        <w:t>Chủ đầu tư có trách nhiệm xác định thời điểm bắt đầu và thời lượng của các bước khi tổ chức đấu thầu các gói thầu của dự án theo trình tự quy định của Luật Đấu thầu và phải đảm bảo tiến độ tổ chức thực hiện các gói thầu phù hợp với Kế hoạch tổng thể thực hiện dự án được cơ quan có thẩm quyền phê duyệt.</w:t>
      </w:r>
    </w:p>
    <w:p>
      <w:r>
        <w:rPr>
          <w:b w:val="0"/>
          <w:i w:val="0"/>
        </w:rPr>
        <w:t>Tổng giá trị của Kế hoạch đấu thầu của dự án: 17.297.687.907.234 đồng.</w:t>
      </w:r>
    </w:p>
    <w:p>
      <w:r>
        <w:rPr>
          <w:b w:val="0"/>
          <w:i w:val="0"/>
        </w:rPr>
        <w:t>Chia ra:</w:t>
      </w:r>
    </w:p>
    <w:p>
      <w:r>
        <w:rPr>
          <w:b w:val="0"/>
          <w:i w:val="0"/>
        </w:rPr>
        <w:t>- Phần công việc đã thực hiện:                  7.549.244.807 đồng;</w:t>
      </w:r>
    </w:p>
    <w:p>
      <w:r>
        <w:rPr>
          <w:b w:val="0"/>
          <w:i w:val="0"/>
        </w:rPr>
        <w:t>- Phần công việc không đấu thầu:            4.484.443.503.882 đồng;</w:t>
      </w:r>
    </w:p>
    <w:p>
      <w:r>
        <w:rPr>
          <w:b w:val="0"/>
          <w:i w:val="0"/>
        </w:rPr>
        <w:t xml:space="preserve">- Phần công việc tổ chức đấu thầu:          12.805.695.158.545 đồng.        </w:t>
      </w:r>
    </w:p>
    <w:p>
      <w:r>
        <w:rPr>
          <w:b/>
          <w:i w:val="0"/>
        </w:rPr>
        <w:t>Điều 2.</w:t>
      </w:r>
      <w:r>
        <w:rPr>
          <w:b/>
          <w:i w:val="0"/>
        </w:rPr>
        <w:t xml:space="preserve"> </w:t>
      </w:r>
      <w:r>
        <w:rPr>
          <w:b w:val="0"/>
          <w:i w:val="0"/>
        </w:rPr>
        <w:t>Giám đốc Khu Quản lý Đường sắt đô thị tự chịu trách nhiệm về tính chính xác của các yếu tố pháp lý, về nội dung và các số liệu trong hồ sơ đệ trình, về các nội dung công việc đã được thực hiện và nội dung được phê duyệt tại Điều 1 của Quyết định này.</w:t>
      </w:r>
      <w:r>
        <w:rPr>
          <w:b/>
          <w:i w:val="0"/>
        </w:rPr>
        <w:t xml:space="preserve"> </w:t>
      </w:r>
    </w:p>
    <w:p>
      <w:r>
        <w:rPr>
          <w:b/>
          <w:i w:val="0"/>
        </w:rPr>
        <w:t>Điều 3.</w:t>
      </w:r>
      <w:r>
        <w:rPr>
          <w:b/>
          <w:i w:val="0"/>
        </w:rPr>
        <w:t xml:space="preserve"> </w:t>
      </w:r>
      <w:r>
        <w:rPr>
          <w:b w:val="0"/>
          <w:i w:val="0"/>
        </w:rPr>
        <w:t>Chánh Văn phòng Hội đồng nhân dân và Ủy ban nhân dân thành phố, Giám đốc Sở Kế hoạch và Đầu tư, Giám đốc Sở Giao thông - Công chính, Giám đốc Sở Tài chính, Giám đốc Sở Xây dựng, Giám đốc Kho bạc Nhà nước thành phố, Giám đốc Khu Quản lý Đường sắt đô thị và Thủ trưởng các cơ quan, đơn vị có liên quan chịu trách nhiệm thi hành Quyết định này./.</w:t>
      </w:r>
    </w:p>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CHỦ TỊCH</w:t>
      </w:r>
      <w:r>
        <w:br/>
      </w:r>
      <w:r>
        <w:rPr>
          <w:b/>
          <w:i w:val="0"/>
        </w:rPr>
        <w:br/>
        <w:t xml:space="preserve">            PHÓ CHỦ TỊCH</w:t>
      </w:r>
      <w:r>
        <w:br/>
      </w:r>
      <w:r>
        <w:br/>
      </w:r>
      <w:r>
        <w:br/>
      </w:r>
      <w:r>
        <w:br/>
      </w:r>
      <w:r>
        <w:br/>
      </w:r>
      <w:r>
        <w:rPr>
          <w:b/>
          <w:i w:val="0"/>
        </w:rPr>
        <w:br/>
        <w:t xml:space="preserve">            Nguyễn Hữu Tín</w:t>
      </w:r>
      <w:r>
        <w:br/>
      </w:r>
      <w:r>
        <w:br/>
      </w:r>
      <w: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CHỦ TỊCH</w:t>
            </w:r>
            <w:r>
              <w:br/>
            </w:r>
            <w:r>
              <w:rPr>
                <w:b/>
                <w:i w:val="0"/>
              </w:rPr>
              <w:br/>
              <w:t xml:space="preserve">            PHÓ CHỦ TỊCH</w:t>
            </w:r>
            <w:r>
              <w:br/>
            </w:r>
            <w:r>
              <w:br/>
            </w:r>
            <w:r>
              <w:br/>
            </w:r>
            <w:r>
              <w:br/>
            </w:r>
            <w:r>
              <w:br/>
            </w:r>
            <w:r>
              <w:rPr>
                <w:b/>
                <w:i w:val="0"/>
              </w:rPr>
              <w:br/>
              <w:t xml:space="preserve">            Nguyễn Hữu Tín</w:t>
            </w:r>
            <w:r>
              <w:br/>
            </w:r>
            <w:r>
              <w:br/>
            </w:r>
            <w: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