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3184/2006/QĐ-UBND Về việc ban hành Kế hoạch hành động của Uỷ ban nhân dân tỉnh về phòng, chống tham nhũng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3184/2006/QĐ-UBND</w:t>
      </w:r>
      <w:r>
        <w:rPr>
          <w:b w:val="0"/>
          <w:i w:val="0"/>
        </w:rPr>
        <w:br/>
      </w:r>
      <w:r>
        <w:rPr>
          <w:b w:val="0"/>
          <w:i w:val="0"/>
        </w:rPr>
        <w:br/>
      </w:r>
      <w:r>
        <w:rPr>
          <w:b w:val="0"/>
          <w:i/>
        </w:rPr>
        <w:br/>
      </w:r>
      <w:r>
        <w:rPr>
          <w:b w:val="0"/>
          <w:i/>
        </w:rPr>
        <w:t>Thanh Hóa, ngày 06 tháng 11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3184/2006/QĐ-UBND</w:t>
      </w:r>
      <w:r>
        <w:rPr>
          <w:b w:val="0"/>
          <w:i w:val="0"/>
        </w:rPr>
        <w:br/>
      </w:r>
      <w:r>
        <w:rPr>
          <w:b w:val="0"/>
          <w:i w:val="0"/>
        </w:rPr>
        <w:br/>
      </w:r>
      <w:r>
        <w:rPr>
          <w:b w:val="0"/>
          <w:i/>
        </w:rPr>
        <w:br/>
      </w:r>
      <w:r>
        <w:rPr>
          <w:b w:val="0"/>
          <w:i/>
        </w:rPr>
        <w:t>Thanh Hóa, ngày 06 tháng 11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3184/2006/QĐ-UBND</w:t>
      </w:r>
      <w:r>
        <w:rPr>
          <w:b w:val="0"/>
          <w:i w:val="0"/>
        </w:rPr>
        <w:br/>
      </w:r>
      <w:r>
        <w:rPr>
          <w:b w:val="0"/>
          <w:i w:val="0"/>
        </w:rPr>
        <w:br/>
      </w:r>
      <w:r>
        <w:rPr>
          <w:b w:val="0"/>
          <w:i/>
        </w:rPr>
        <w:br/>
      </w:r>
      <w:r>
        <w:rPr>
          <w:b w:val="0"/>
          <w:i/>
        </w:rPr>
        <w:t>Thanh Hóa, ngày 06 tháng 11 năm 2006</w:t>
      </w:r>
      <w:r>
        <w:rPr>
          <w:b w:val="0"/>
          <w:i/>
        </w:rPr>
        <w:br/>
      </w:r>
      <w:r>
        <w:rPr>
          <w:b w:val="0"/>
          <w:i w:val="0"/>
        </w:rPr>
        <w:br/>
      </w:r>
    </w:p>
    <w:p>
      <w:pPr>
        <w:jc w:val="center"/>
      </w:pPr>
      <w:r>
        <w:rPr>
          <w:b w:val="0"/>
          <w:i w:val="0"/>
        </w:rPr>
        <w:br/>
      </w:r>
      <w:r>
        <w:rPr>
          <w:b w:val="0"/>
          <w:i w:val="0"/>
        </w:rPr>
        <w:t>Số: 3184/2006/QĐ-UBND</w:t>
      </w:r>
      <w:r>
        <w:rPr>
          <w:b w:val="0"/>
          <w:i w:val="0"/>
        </w:rPr>
        <w:br/>
      </w:r>
    </w:p>
    <w:p>
      <w:pPr>
        <w:jc w:val="center"/>
      </w:pPr>
      <w:r>
        <w:rPr>
          <w:b w:val="0"/>
          <w:i w:val="0"/>
        </w:rPr>
        <w:br/>
      </w:r>
      <w:r>
        <w:rPr>
          <w:b w:val="0"/>
          <w:i w:val="0"/>
        </w:rPr>
        <w:t>Thanh Hóa, ngày 06 tháng 11 năm 2006</w:t>
      </w:r>
      <w:r>
        <w:rPr>
          <w:b w:val="0"/>
          <w:i w:val="0"/>
        </w:rPr>
        <w:br/>
      </w:r>
    </w:p>
    <w:p>
      <w:r>
        <w:rPr>
          <w:b/>
          <w:i w:val="0"/>
        </w:rPr>
        <w:t>QUYẾT ĐỊNH</w:t>
      </w:r>
    </w:p>
    <w:p>
      <w:r>
        <w:rPr>
          <w:b/>
          <w:i w:val="0"/>
        </w:rPr>
        <w:t xml:space="preserve">Về việc ban hành Kế hoạch hành động </w:t>
      </w:r>
      <w:r>
        <w:br/>
      </w:r>
      <w:r>
        <w:rPr>
          <w:b/>
          <w:i w:val="0"/>
        </w:rPr>
        <w:t xml:space="preserve">của Uỷ ban nhân dân tỉnh về phòng, chống tham nhũng </w:t>
      </w:r>
    </w:p>
    <w:p>
      <w:r>
        <w:rPr>
          <w:b/>
          <w:i w:val="0"/>
        </w:rPr>
        <w:t>ỦY BAN NHÂN DÂN TỈNH THANH HÓA</w:t>
      </w:r>
    </w:p>
    <w:p>
      <w:pPr>
        <w:jc w:val="both"/>
      </w:pPr>
      <w:r>
        <w:rPr>
          <w:b w:val="0"/>
          <w:i w:val="0"/>
        </w:rPr>
        <w:t>Căn cứ Luật Tổ chức HĐND và UBND ngày 26 tháng 11 năm 2003;</w:t>
      </w:r>
    </w:p>
    <w:p>
      <w:pPr>
        <w:jc w:val="both"/>
      </w:pPr>
      <w:r>
        <w:rPr>
          <w:b w:val="0"/>
          <w:i w:val="0"/>
        </w:rPr>
        <w:t>Căn cứ Luật Phòng, chống tham nhũng ngày 29 tháng 11 năm 2005;</w:t>
      </w:r>
    </w:p>
    <w:p>
      <w:pPr>
        <w:jc w:val="both"/>
      </w:pPr>
      <w:r>
        <w:rPr>
          <w:b w:val="0"/>
          <w:i w:val="0"/>
        </w:rPr>
        <w:t>Căn cứ Luật Ban hành văn bản quy phạm pháp luật của HĐND và UBND ngày 03 tháng 12 năm 2004;</w:t>
      </w:r>
    </w:p>
    <w:p>
      <w:pPr>
        <w:jc w:val="both"/>
      </w:pPr>
      <w:r>
        <w:rPr>
          <w:b w:val="0"/>
          <w:i w:val="0"/>
        </w:rPr>
        <w:t>Căn cứ Nghị quyết Hội nghị lần thứ ba Ban chấp hành Trung ương Đảng khoá X về tăng cường sự lãnh đạo của Đảng đối với công tác phòng chống tham nhũng, lãng phí;</w:t>
      </w:r>
    </w:p>
    <w:p>
      <w:pPr>
        <w:jc w:val="both"/>
      </w:pPr>
      <w:r>
        <w:rPr>
          <w:b w:val="0"/>
          <w:i w:val="0"/>
        </w:rPr>
        <w:t>Căn cứ Nghị định số 120/2006/NĐ-CP ngày 20 tháng 10 năm 2006 của Chính phủ quy định chi tiết và hướng dẫn thi hành một số điều của Luật phòng, chống tham nhũng;</w:t>
      </w:r>
    </w:p>
    <w:p>
      <w:pPr>
        <w:jc w:val="both"/>
      </w:pPr>
      <w:r>
        <w:rPr>
          <w:b w:val="0"/>
          <w:i w:val="0"/>
        </w:rPr>
        <w:t>Căn cứ Quyết định số 30/2006/QĐ-TTg ngày 06 tháng 02 năm 2006 của Thủ tướng Chính phủ ban hành Chương trình hành động của Chính phủ thực hiện Luật phòng, chống tham nhũng;</w:t>
      </w:r>
    </w:p>
    <w:p>
      <w:pPr>
        <w:jc w:val="both"/>
      </w:pPr>
      <w:r>
        <w:rPr>
          <w:b w:val="0"/>
          <w:i w:val="0"/>
        </w:rPr>
        <w:t xml:space="preserve">Xét đề nghị của Chánh Văn phòng UBND tỉnh và Giám đốc Sở Tư pháp,   </w:t>
      </w:r>
    </w:p>
    <w:p>
      <w:r>
        <w:rPr>
          <w:b/>
          <w:i w:val="0"/>
        </w:rPr>
        <w:t>QUYẾT ĐỊNH:</w:t>
      </w:r>
    </w:p>
    <w:p>
      <w:pPr>
        <w:jc w:val="both"/>
      </w:pPr>
      <w:r>
        <w:rPr>
          <w:b/>
          <w:i w:val="0"/>
        </w:rPr>
        <w:t xml:space="preserve">Điều 1. </w:t>
      </w:r>
      <w:r>
        <w:rPr>
          <w:b w:val="0"/>
          <w:i w:val="0"/>
        </w:rPr>
        <w:t>Ban hành kèm theo Quyết định này Kế hoạch hành động của UBND tỉnh về phòng, chống tham nhũng.</w:t>
      </w:r>
    </w:p>
    <w:p>
      <w:pPr>
        <w:jc w:val="both"/>
      </w:pPr>
      <w:r>
        <w:rPr>
          <w:b/>
          <w:i w:val="0"/>
        </w:rPr>
        <w:t xml:space="preserve">Điều 2. </w:t>
      </w:r>
      <w:r>
        <w:rPr>
          <w:b w:val="0"/>
          <w:i w:val="0"/>
        </w:rPr>
        <w:t>Quyết định này có hiệu lực sau 10 ngày kể từ ngày ký.</w:t>
      </w:r>
    </w:p>
    <w:p>
      <w:pPr>
        <w:jc w:val="both"/>
      </w:pPr>
      <w:r>
        <w:rPr>
          <w:b/>
          <w:i w:val="0"/>
        </w:rPr>
        <w:t xml:space="preserve">Điều 3. </w:t>
      </w:r>
      <w:r>
        <w:rPr>
          <w:b w:val="0"/>
          <w:i w:val="0"/>
        </w:rPr>
        <w:t>Giám đốc các sở, Thủ trưởng các ban, ngành, Chủ tịch UBND các huyện, thị xã, thành phố, Giám đốc các Công ty nhà nước và các cơ quan, tổ chức, đơn vị,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