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31/2006/QĐ-UBND về chấm dứt việc tổ chức thu, nộp phí giao thông trên đường Huỳnh Tấn Phát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THÀNH PHỐ HỒ CHÍ MINH</w:t>
            </w:r>
            <w:r>
              <w:br/>
            </w:r>
            <w:r>
              <w:rPr>
                <w:b w:val="0"/>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w:t>
            </w:r>
          </w:p>
        </w:tc>
      </w:tr>
    </w:tbl>
    <w:p>
      <w:pPr>
        <w:jc w:val="center"/>
      </w:pPr>
      <w:r>
        <w:rPr>
          <w:b/>
          <w:i w:val="0"/>
        </w:rPr>
        <w:t>QUYẾT ĐỊNH</w:t>
      </w:r>
    </w:p>
    <w:p>
      <w:pPr>
        <w:jc w:val="center"/>
      </w:pPr>
      <w:r>
        <w:rPr>
          <w:b/>
          <w:i w:val="0"/>
        </w:rPr>
        <w:t>VỀ CHẤM DỨT VIỆC TỔ CHỨC THU, NỘP PHÍ GIAO THÔNG</w:t>
      </w:r>
      <w:r>
        <w:rPr>
          <w:b/>
          <w:i w:val="0"/>
        </w:rPr>
        <w:t xml:space="preserve"> </w:t>
      </w:r>
      <w:r>
        <w:rPr>
          <w:b/>
          <w:i w:val="0"/>
        </w:rPr>
        <w:t>TRÊN ĐƯỜNG HUỲNH TẤN PHÁT</w:t>
      </w:r>
    </w:p>
    <w:p>
      <w:pPr>
        <w:jc w:val="center"/>
      </w:pPr>
      <w:r>
        <w:rPr>
          <w:b/>
          <w:i w:val="0"/>
        </w:rPr>
        <w:t>ỦY BAN NHÂN DÂN THÀNH PHỐ HỒ CHÍ MINH</w:t>
      </w:r>
    </w:p>
    <w:p>
      <w:r>
        <w:rPr>
          <w:b w:val="0"/>
          <w:i/>
        </w:rPr>
        <w:t>Căn cứ Luật tổ chức Hội đồng nhân dân và Ủy ban nhân dân</w:t>
      </w:r>
      <w:r>
        <w:br/>
      </w:r>
      <w:r>
        <w:rPr>
          <w:b w:val="0"/>
          <w:i/>
        </w:rPr>
        <w:br/>
        <w:t xml:space="preserve">     ngày 26 tháng 11 năm 2003;</w:t>
      </w:r>
      <w:r>
        <w:br/>
      </w:r>
      <w:r>
        <w:rPr>
          <w:b w:val="0"/>
          <w:i/>
        </w:rPr>
        <w:br/>
        <w:t xml:space="preserve">     Thực hiện Nghị quyết số 34/2005/NQ-HĐND ngày 26 tháng 12 năm 2005 của Hội đồng nhân dân thành phố tại Kỳ họp thứ 6 Khóa VII từ ngày 20 đến ngày 22 tháng 12 năm 2005;</w:t>
      </w:r>
      <w:r>
        <w:br/>
      </w:r>
      <w:r>
        <w:rPr>
          <w:b w:val="0"/>
          <w:i/>
        </w:rPr>
        <w:br/>
        <w:t xml:space="preserve">     Theo đề nghị của Sở Giao thông-Công chính (Công văn số 273/SGTCC-GT ngày 16 tháng 02 năm 2006);</w:t>
      </w:r>
    </w:p>
    <w:p>
      <w:pPr>
        <w:jc w:val="center"/>
      </w:pPr>
      <w:r>
        <w:rPr>
          <w:b/>
          <w:i w:val="0"/>
        </w:rPr>
        <w:t>QUYẾT ĐỊNH:</w:t>
      </w:r>
    </w:p>
    <w:p>
      <w:r>
        <w:rPr>
          <w:b/>
          <w:i w:val="0"/>
        </w:rPr>
        <w:t xml:space="preserve">Điều 1. </w:t>
      </w:r>
      <w:r>
        <w:rPr>
          <w:b w:val="0"/>
          <w:i w:val="0"/>
        </w:rPr>
        <w:t>Chấm dứt việc tổ chức thu, nộp phí giao thông trên đường Huỳnh Tấn Phát (quận 7-Nhà Bè) của Công ty Phát triển đô thị và khu công nghiệp (thực hiện theo Quyết định số 178/2004/QĐ-UB ngày 20 tháng 7 năm 2004 của Ủy ban nhân dân thành phố), kể từ 0 giờ 00 ngày 01 tháng 3 năm 2006.</w:t>
      </w:r>
    </w:p>
    <w:p>
      <w:r>
        <w:rPr>
          <w:b/>
          <w:i w:val="0"/>
        </w:rPr>
        <w:t xml:space="preserve">Điều 2. </w:t>
      </w:r>
      <w:r>
        <w:rPr>
          <w:b w:val="0"/>
          <w:i w:val="0"/>
        </w:rPr>
        <w:t>Công ty Phát triển đô thị và khu công nghiệp ngưng ngay việc phát hành, bán vé tháng; chịu trách nhiệm thu hồi, hoàn trả tiền cho người mua đối với những vé thu phí giao thông trên đường Huỳnh Tấn Phát có giá trị sử dụng kể từ ngày 01 tháng 3 năm 2006 trở về sau.</w:t>
      </w:r>
    </w:p>
    <w:p>
      <w:r>
        <w:rPr>
          <w:b/>
          <w:i w:val="0"/>
        </w:rPr>
        <w:t xml:space="preserve">Điều 3. </w:t>
      </w:r>
      <w:r>
        <w:rPr>
          <w:b w:val="0"/>
          <w:i w:val="0"/>
        </w:rPr>
        <w:t>Giao Së Tại chính phối hợp Cục Thuế thành phố tổ chức kiểm tra, thanh kiểm tra, thanh quyết toán công tác thu, nộp phí giao thông trên tuyến đường của Công ty Phát triển đô thị và khu công nghiệp nói tại Điều 1.</w:t>
      </w:r>
    </w:p>
    <w:p>
      <w:r>
        <w:rPr>
          <w:b/>
          <w:i w:val="0"/>
        </w:rPr>
        <w:t xml:space="preserve">Điều 4. </w:t>
      </w:r>
      <w:r>
        <w:rPr>
          <w:b w:val="0"/>
          <w:i w:val="0"/>
        </w:rPr>
        <w:t>Giao Sở Giao thông-Công chính chỉ đạo công tác tháo dỡ các trạm, chốt thu phí giao thông trên đường Huỳnh Tấn Phát, tổ chức tiếp nhận-quản lý vật tư thu hồi đúng quy định.</w:t>
      </w:r>
    </w:p>
    <w:p>
      <w:r>
        <w:rPr>
          <w:b w:val="0"/>
          <w:i w:val="0"/>
        </w:rPr>
        <w:t>Giao Sở Giao thông-Công chính chủ trì Tổ đám phán tiếp tục khẩn trương hoàn tất việc đàm phán, đi đến thống nhất về giá trị chuyển giao công trình.</w:t>
      </w:r>
    </w:p>
    <w:p>
      <w:r>
        <w:rPr>
          <w:b/>
          <w:i w:val="0"/>
        </w:rPr>
        <w:t xml:space="preserve">Điều 5. </w:t>
      </w:r>
      <w:r>
        <w:rPr>
          <w:b w:val="0"/>
          <w:i w:val="0"/>
        </w:rPr>
        <w:t>Chánh Văn phòng Hội đồng nhân dân và Ủy ban nhân dân thành phố, Giám đốc Sở Tài chính, Giám đốc Sở Giao thông-Công chính, Giám đốc Sở Kế hoạch và Đầu tư, Cục trưởng Cục Thuế thành phố, Giám đốc Kho Bạc Nhà nước thành phố, Thủ trưởng các sở-ban-ngành thành phố, Chủ tịch Ủy ban nhân dân các quận-huyện, Giám đốc Công ty Phát triển đô thị và khu công nghiệp và Thủ trưởng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5;</w:t>
            </w:r>
            <w:r>
              <w:br/>
            </w:r>
            <w:r>
              <w:rPr>
                <w:b w:val="0"/>
                <w:i w:val="0"/>
              </w:rPr>
              <w:br/>
              <w:t xml:space="preserve">         - Thường trực Thành Ủy;</w:t>
            </w:r>
            <w:r>
              <w:br/>
            </w:r>
            <w:r>
              <w:rPr>
                <w:b w:val="0"/>
                <w:i w:val="0"/>
              </w:rPr>
              <w:br/>
              <w:t xml:space="preserve">         - TT/HĐND.TP, TT/UBND.TP;</w:t>
            </w:r>
            <w:r>
              <w:br/>
            </w:r>
            <w:r>
              <w:rPr>
                <w:b w:val="0"/>
                <w:i w:val="0"/>
              </w:rPr>
              <w:br/>
              <w:t xml:space="preserve">         - Đoàn Đại biểu Quốc hội thành phố;</w:t>
            </w:r>
            <w:r>
              <w:br/>
            </w:r>
            <w:r>
              <w:rPr>
                <w:b w:val="0"/>
                <w:i w:val="0"/>
              </w:rPr>
              <w:br/>
              <w:t xml:space="preserve">         - VPHĐ-UB: CPVP;</w:t>
            </w:r>
            <w:r>
              <w:br/>
            </w:r>
            <w:r>
              <w:rPr>
                <w:b w:val="0"/>
                <w:i w:val="0"/>
              </w:rPr>
              <w:br/>
              <w:t xml:space="preserve">         - Các Báo, đài thành phố;</w:t>
            </w:r>
            <w:r>
              <w:br/>
            </w:r>
            <w:r>
              <w:rPr>
                <w:b w:val="0"/>
                <w:i w:val="0"/>
              </w:rPr>
              <w:br/>
              <w:t xml:space="preserve">         - Các Tổ NCTH;</w:t>
            </w:r>
            <w:r>
              <w:rPr>
                <w:b/>
                <w:i w:val="0"/>
              </w:rPr>
              <w:t xml:space="preserve"> </w:t>
            </w:r>
            <w:r>
              <w:br/>
            </w:r>
            <w:r>
              <w:rPr>
                <w:b w:val="0"/>
                <w:i w:val="0"/>
              </w:rPr>
              <w:br/>
              <w:t xml:space="preserve">         - Lưu (ĐT-Thg) </w:t>
            </w:r>
          </w:p>
        </w:tc>
        <w:tc>
          <w:tcPr>
            <w:tcW w:type="dxa" w:w="4320"/>
          </w:tcPr>
          <w:p>
            <w:r>
              <w:rPr>
                <w:b w:val="0"/>
                <w:i w:val="0"/>
              </w:rPr>
              <w:br/>
            </w:r>
            <w:r>
              <w:rPr>
                <w:b/>
                <w:i w:val="0"/>
              </w:rPr>
              <w:t>TM.ỦY BAN NHÂN DÂN</w:t>
            </w:r>
            <w:r>
              <w:br/>
            </w:r>
            <w:r>
              <w:rPr>
                <w:b/>
                <w:i w:val="0"/>
              </w:rPr>
              <w:t>KT. CHỦ TỊCH</w:t>
            </w:r>
            <w:r>
              <w:br/>
            </w:r>
            <w:r>
              <w:rPr>
                <w:b/>
                <w:i w:val="0"/>
              </w:rPr>
              <w:t>PHÓ CHỦ TỊCH</w:t>
            </w:r>
            <w:r>
              <w:br/>
            </w:r>
            <w:r>
              <w:rPr>
                <w:b/>
                <w:i w:val="0"/>
              </w:rPr>
              <w:t xml:space="preserve"> </w:t>
            </w:r>
            <w:r>
              <w:br/>
            </w:r>
            <w:r>
              <w:rPr>
                <w:b/>
                <w:i w:val="0"/>
              </w:rPr>
              <w:t>Nguyễn Văn Đua</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