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324/QĐ-UB về việc quy định chế độ, đối tượng, định lượng cung cấp hàng hóa cho một số đối tượng tiêu dùng trong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BẾN TRE</w:t>
            </w:r>
          </w:p>
        </w:tc>
        <w:tc>
          <w:tcPr>
            <w:tcW w:type="dxa" w:w="4320"/>
          </w:tcPr>
          <w:p>
            <w:r>
              <w:rPr>
                <w:b w:val="0"/>
                <w:i w:val="0"/>
              </w:rPr>
              <w:br/>
            </w:r>
            <w:r>
              <w:rPr>
                <w:b/>
                <w:i w:val="0"/>
              </w:rPr>
              <w:t>CỘNG HÒA XÃ HỘI CHỦ NGHĨA VIỆT NAM</w:t>
            </w:r>
            <w:r>
              <w:rPr>
                <w:b w:val="0"/>
                <w:i w:val="0"/>
              </w:rPr>
              <w:br/>
            </w:r>
            <w:r>
              <w:rPr>
                <w:b/>
                <w:i w:val="0"/>
              </w:rPr>
              <w:t xml:space="preserve"> Ðộc lập - Tự do - Hạnh phúc</w:t>
            </w:r>
          </w:p>
        </w:tc>
      </w:tr>
    </w:tbl>
    <w:p>
      <w:pPr>
        <w:jc w:val="center"/>
      </w:pPr>
      <w:r>
        <w:rPr>
          <w:b/>
          <w:i w:val="0"/>
        </w:rPr>
        <w:t>QUYẾT ĐỊNH CỦA UBND TỈNH BẾN TRE</w:t>
      </w:r>
    </w:p>
    <w:p>
      <w:pPr>
        <w:jc w:val="center"/>
      </w:pPr>
      <w:r>
        <w:rPr>
          <w:b/>
          <w:i w:val="0"/>
        </w:rPr>
        <w:t xml:space="preserve">“Về việc qui định chế độ, đối tượng, </w:t>
      </w:r>
      <w:r>
        <w:rPr>
          <w:b/>
          <w:i w:val="0"/>
        </w:rPr>
        <w:t xml:space="preserve">định lượng cung cấp hàng hóa cho </w:t>
      </w:r>
      <w:r>
        <w:rPr>
          <w:b/>
          <w:i w:val="0"/>
        </w:rPr>
        <w:t>một số đối tượng tiêu dùng trong Tỉnh”</w:t>
      </w:r>
    </w:p>
    <w:p>
      <w:r>
        <w:rPr>
          <w:b w:val="0"/>
          <w:i w:val="0"/>
        </w:rPr>
        <w:t>- Tiếp tục thi hành nghị quyết số 26-NQ-TW ngày 23 tháng 6 năm 1980 của Bộ chính trị, chỉ thị 109 và quyết định 218-CP của Hội đồng Chánh phủ, chỉ thị 32/CT-TU của TU.</w:t>
      </w:r>
    </w:p>
    <w:p>
      <w:r>
        <w:rPr>
          <w:b w:val="0"/>
          <w:i w:val="0"/>
        </w:rPr>
        <w:t>- Ủy ban nhân dân Tỉnh quyết định một số chủ trương, biện pháp như sau :</w:t>
      </w:r>
    </w:p>
    <w:p>
      <w:r>
        <w:rPr>
          <w:b w:val="0"/>
          <w:i w:val="0"/>
        </w:rPr>
        <w:t>1. Đối tượng được hưởng chế độ cung cấp; giá cung cấp :</w:t>
      </w:r>
    </w:p>
    <w:p>
      <w:r>
        <w:rPr>
          <w:b w:val="0"/>
          <w:i w:val="0"/>
        </w:rPr>
        <w:t>a. Công nhân viên chức đang làm việc trong các cơ quan Nhà nước, cán bộ các đoàn thể cách mạng đã thoát li sản xuất nông nghiệp.</w:t>
      </w:r>
    </w:p>
    <w:p>
      <w:r>
        <w:rPr>
          <w:b w:val="0"/>
          <w:i w:val="0"/>
        </w:rPr>
        <w:t>b. Cán bộ, chiến sĩ các lực lượng võ trang ( công an, bộ đội ) kể cả công nhân trong các xí nghiệp Quốc phòng.</w:t>
      </w:r>
    </w:p>
    <w:p>
      <w:r>
        <w:rPr>
          <w:b w:val="0"/>
          <w:i w:val="0"/>
        </w:rPr>
        <w:t>c. Công nhân viên Nhà nước, cán bộ, quân đội, công an và cán bộ các đoàn thể cách mạng đã nghỉ hưu trí hoặc về nghỉ mất sức được hưởng trợ cấp lương.</w:t>
      </w:r>
    </w:p>
    <w:p>
      <w:r>
        <w:rPr>
          <w:b w:val="0"/>
          <w:i w:val="0"/>
        </w:rPr>
        <w:t>d. Thương binh, bệnh binh, được Nhà nước tập trung nuôi dưỡng hoặc đã về gia đình nhưng do trạm trại điều dưỡng quản lý. Thương binh loại đặc biệt loại 1 chống Pháp. Thương binh loại 5,6,7,8 chống Mỹ và thương binh loại 4 chống Mỹ đã mất sức lao động 60% trở lên/</w:t>
      </w:r>
    </w:p>
    <w:p>
      <w:r>
        <w:rPr>
          <w:b w:val="0"/>
          <w:i w:val="0"/>
        </w:rPr>
        <w:t>đ. Học sinh các trường Đại học, Trung học chuyên nghiệp, trường dạy nghề do Nhà nước tổ chức, trường bổ túc công nông dạy con em liệt sĩ do cấp Tỉnh hoặc huyện tổ chức và quản lý.</w:t>
      </w:r>
    </w:p>
    <w:p>
      <w:r>
        <w:rPr>
          <w:b w:val="0"/>
          <w:i w:val="0"/>
        </w:rPr>
        <w:t>h. Những người già yếu, mất sức lao động hoặc chưa đến tuổi lao động, sống chung một hộ khẩu, nguồn sống chính là dựa vào tiền lương của công nhân viên chức ( gọi tắt là người ăn theo ).</w:t>
      </w:r>
    </w:p>
    <w:p>
      <w:r>
        <w:rPr>
          <w:b w:val="0"/>
          <w:i w:val="0"/>
        </w:rPr>
        <w:t>2. Những đối tượng thuộc diện nêu trên được cung cấp theo định lượng, tiêu chuẩn và mua theo giá cung cấp những mặt hàng thiết yếu cho mỗi tháng gồm có :</w:t>
      </w:r>
    </w:p>
    <w:p>
      <w:r>
        <w:rPr>
          <w:b w:val="0"/>
          <w:i w:val="0"/>
        </w:rPr>
        <w:t>“Do tình hình khó khăn chung của đất nước, nhưng Đảng và Nhà nước cố gắng giải quyết một bước đời sống cán bộ, nhân viên, chiến sĩ; Hội đồng Chánh phủ đã có quyết định 218-CP ngày 29/5/1981 chỉ đạo các tiêu chuẩn, định lượng thống nhứt trong cả nước”.</w:t>
      </w:r>
    </w:p>
    <w:p>
      <w:r>
        <w:rPr>
          <w:b w:val="0"/>
          <w:i w:val="0"/>
        </w:rPr>
        <w:t>- Về địa phương: Tỉnh ủy, Ủy ban nhân dân Tỉnh đã chỉ đạo các cấp, các ngành nhất là các cơ sở sản xuất, kinh doanh cố gắng vươn lên sản xuất, thu mua nhiều hàng hóa, trên cơ sở đó làm tròn nghĩa vụ giao nộp sản phẩm theo kế hoạch cho Trung ương, phục vụ cho sản xuất, đời sống và chiến đấu, tăng thu cho ngân sách. Sau khi cân đối lại UBND Tỉnh quyết định ngân sách địa phương phải chi thêm hàng triệu đồng để bù lỗ cho khối lượng hàng hóa phải tăng thêm, làm cho đời sống cán bộ, công nhân viên đỡ khó khăn, chủ yếu là nâng thêm cho cán bộ công nhân viên trực tiếp mà có lương thấp.</w:t>
      </w:r>
    </w:p>
    <w:p>
      <w:r>
        <w:rPr>
          <w:b w:val="0"/>
          <w:i w:val="0"/>
        </w:rPr>
        <w:t>Để thực hiện sự cố gắng đó, Ủy ban nhân dân Tỉnh chấp hành những tiêu chuẩn của Trung ương qui định, đồng thời với khả năng địa phương cố lo cho cán bộ nhân viên, chiến sĩ đừng để bị sụt nhiều so với trước đây địa phương đã vận dụng. Do vậy cán bộ, nhân viên, chiến sĩ phải thấy sự cố gắng của Trung ương và địa phương.</w:t>
      </w:r>
    </w:p>
    <w:p>
      <w:r>
        <w:rPr>
          <w:b w:val="0"/>
          <w:i w:val="0"/>
        </w:rPr>
        <w:t>a. Đối với cán bộ, công nhân viên làm việc trong các cơ quan hành chánh sự nghiệp : thì cấp hàng hóa theo mức lương, công nhân làm trong các xí nghiệp (hoặc ngành nghề tương đương) thì cấp theo điều kiện làm việc.</w:t>
      </w:r>
    </w:p>
    <w:p>
      <w:r>
        <w:rPr>
          <w:b w:val="0"/>
          <w:i w:val="0"/>
        </w:rPr>
        <w:t>Các mức được hưởng định lượng như sau:</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Mặt hàng/</w:t>
            </w:r>
            <w:r>
              <w:rPr>
                <w:b w:val="0"/>
                <w:i w:val="0"/>
              </w:rPr>
              <w:br/>
            </w:r>
            <w:r>
              <w:rPr>
                <w:b w:val="0"/>
                <w:i w:val="0"/>
              </w:rPr>
              <w:t>Đối tượng</w:t>
            </w:r>
          </w:p>
        </w:tc>
        <w:tc>
          <w:tcPr>
            <w:tcW w:type="dxa" w:w="1080"/>
          </w:tcPr>
          <w:p>
            <w:r>
              <w:rPr>
                <w:b w:val="0"/>
                <w:i w:val="0"/>
              </w:rPr>
              <w:br/>
            </w:r>
            <w:r>
              <w:rPr>
                <w:b w:val="0"/>
                <w:i w:val="0"/>
              </w:rPr>
              <w:t>Thịt heo</w:t>
            </w:r>
            <w:r>
              <w:rPr>
                <w:b w:val="0"/>
                <w:i w:val="0"/>
              </w:rPr>
              <w:br/>
            </w:r>
            <w:r>
              <w:rPr>
                <w:b w:val="0"/>
                <w:i w:val="0"/>
              </w:rPr>
              <w:t>kg/</w:t>
            </w:r>
            <w:r>
              <w:rPr>
                <w:b w:val="0"/>
                <w:i w:val="0"/>
              </w:rPr>
              <w:br/>
            </w:r>
            <w:r>
              <w:rPr>
                <w:b w:val="0"/>
                <w:i w:val="0"/>
              </w:rPr>
              <w:t>tháng</w:t>
            </w:r>
          </w:p>
        </w:tc>
        <w:tc>
          <w:tcPr>
            <w:tcW w:type="dxa" w:w="1080"/>
          </w:tcPr>
          <w:p>
            <w:r>
              <w:rPr>
                <w:b w:val="0"/>
                <w:i w:val="0"/>
              </w:rPr>
              <w:br/>
            </w:r>
            <w:r>
              <w:rPr>
                <w:b w:val="0"/>
                <w:i w:val="0"/>
              </w:rPr>
              <w:t>Cá quy tươi</w:t>
            </w:r>
            <w:r>
              <w:rPr>
                <w:b w:val="0"/>
                <w:i w:val="0"/>
              </w:rPr>
              <w:br/>
            </w:r>
            <w:r>
              <w:rPr>
                <w:b w:val="0"/>
                <w:i w:val="0"/>
              </w:rPr>
              <w:t>kg/</w:t>
            </w:r>
            <w:r>
              <w:rPr>
                <w:b w:val="0"/>
                <w:i w:val="0"/>
              </w:rPr>
              <w:br/>
            </w:r>
            <w:r>
              <w:rPr>
                <w:b w:val="0"/>
                <w:i w:val="0"/>
              </w:rPr>
              <w:t>tháng</w:t>
            </w:r>
          </w:p>
        </w:tc>
        <w:tc>
          <w:tcPr>
            <w:tcW w:type="dxa" w:w="1080"/>
          </w:tcPr>
          <w:p>
            <w:r>
              <w:rPr>
                <w:b w:val="0"/>
                <w:i w:val="0"/>
              </w:rPr>
              <w:br/>
            </w:r>
            <w:r>
              <w:rPr>
                <w:b w:val="0"/>
                <w:i w:val="0"/>
              </w:rPr>
              <w:t>Nước mắm,</w:t>
            </w:r>
            <w:r>
              <w:rPr>
                <w:b w:val="0"/>
                <w:i w:val="0"/>
              </w:rPr>
              <w:br/>
            </w:r>
            <w:r>
              <w:rPr>
                <w:b w:val="0"/>
                <w:i w:val="0"/>
              </w:rPr>
              <w:t>nước chấm</w:t>
            </w:r>
            <w:r>
              <w:rPr>
                <w:b w:val="0"/>
                <w:i w:val="0"/>
              </w:rPr>
              <w:br/>
            </w:r>
            <w:r>
              <w:rPr>
                <w:b w:val="0"/>
                <w:i w:val="0"/>
              </w:rPr>
              <w:t>lít/</w:t>
            </w:r>
            <w:r>
              <w:rPr>
                <w:b w:val="0"/>
                <w:i w:val="0"/>
              </w:rPr>
              <w:br/>
            </w:r>
            <w:r>
              <w:rPr>
                <w:b w:val="0"/>
                <w:i w:val="0"/>
              </w:rPr>
              <w:t>tháng</w:t>
            </w:r>
          </w:p>
        </w:tc>
        <w:tc>
          <w:tcPr>
            <w:tcW w:type="dxa" w:w="1080"/>
          </w:tcPr>
          <w:p>
            <w:r>
              <w:rPr>
                <w:b w:val="0"/>
                <w:i w:val="0"/>
              </w:rPr>
              <w:br/>
            </w:r>
            <w:r>
              <w:rPr>
                <w:b w:val="0"/>
                <w:i w:val="0"/>
              </w:rPr>
              <w:t>Đường cát</w:t>
            </w:r>
            <w:r>
              <w:rPr>
                <w:b w:val="0"/>
                <w:i w:val="0"/>
              </w:rPr>
              <w:br/>
            </w:r>
            <w:r>
              <w:rPr>
                <w:b w:val="0"/>
                <w:i w:val="0"/>
              </w:rPr>
              <w:t>kg/</w:t>
            </w:r>
            <w:r>
              <w:rPr>
                <w:b w:val="0"/>
                <w:i w:val="0"/>
              </w:rPr>
              <w:br/>
            </w:r>
            <w:r>
              <w:rPr>
                <w:b w:val="0"/>
                <w:i w:val="0"/>
              </w:rPr>
              <w:t>tháng</w:t>
            </w:r>
          </w:p>
        </w:tc>
        <w:tc>
          <w:tcPr>
            <w:tcW w:type="dxa" w:w="1080"/>
          </w:tcPr>
          <w:p>
            <w:r>
              <w:rPr>
                <w:b w:val="0"/>
                <w:i w:val="0"/>
              </w:rPr>
              <w:br/>
            </w:r>
            <w:r>
              <w:rPr>
                <w:b w:val="0"/>
                <w:i w:val="0"/>
              </w:rPr>
              <w:t>Bột ngọt</w:t>
            </w:r>
            <w:r>
              <w:rPr>
                <w:b w:val="0"/>
                <w:i w:val="0"/>
              </w:rPr>
              <w:br/>
            </w:r>
            <w:r>
              <w:rPr>
                <w:b w:val="0"/>
                <w:i w:val="0"/>
              </w:rPr>
              <w:t>gam/</w:t>
            </w:r>
            <w:r>
              <w:rPr>
                <w:b w:val="0"/>
                <w:i w:val="0"/>
              </w:rPr>
              <w:br/>
            </w:r>
            <w:r>
              <w:rPr>
                <w:b w:val="0"/>
                <w:i w:val="0"/>
              </w:rPr>
              <w:t>quí</w:t>
            </w:r>
          </w:p>
        </w:tc>
        <w:tc>
          <w:tcPr>
            <w:tcW w:type="dxa" w:w="1080"/>
          </w:tcPr>
          <w:p>
            <w:r>
              <w:rPr>
                <w:b w:val="0"/>
                <w:i w:val="0"/>
              </w:rPr>
              <w:br/>
            </w:r>
            <w:r>
              <w:rPr>
                <w:b w:val="0"/>
                <w:i w:val="0"/>
              </w:rPr>
              <w:t>xà bông giặt</w:t>
            </w:r>
            <w:r>
              <w:rPr>
                <w:b w:val="0"/>
                <w:i w:val="0"/>
              </w:rPr>
              <w:br/>
            </w:r>
            <w:r>
              <w:rPr>
                <w:b w:val="0"/>
                <w:i w:val="0"/>
              </w:rPr>
              <w:t>gam/</w:t>
            </w:r>
            <w:r>
              <w:rPr>
                <w:b w:val="0"/>
                <w:i w:val="0"/>
              </w:rPr>
              <w:br/>
            </w:r>
            <w:r>
              <w:rPr>
                <w:b w:val="0"/>
                <w:i w:val="0"/>
              </w:rPr>
              <w:t>tháng</w:t>
            </w:r>
          </w:p>
        </w:tc>
        <w:tc>
          <w:tcPr>
            <w:tcW w:type="dxa" w:w="1080"/>
          </w:tcPr>
          <w:p>
            <w:r>
              <w:rPr>
                <w:b w:val="0"/>
                <w:i w:val="0"/>
              </w:rPr>
              <w:br/>
            </w:r>
            <w:r>
              <w:rPr>
                <w:b w:val="0"/>
                <w:i w:val="0"/>
              </w:rPr>
              <w:t>Chất đốt (củi)</w:t>
            </w:r>
            <w:r>
              <w:rPr>
                <w:b w:val="0"/>
                <w:i w:val="0"/>
              </w:rPr>
              <w:br/>
            </w:r>
            <w:r>
              <w:rPr>
                <w:b w:val="0"/>
                <w:i w:val="0"/>
              </w:rPr>
              <w:t>mét/ tháng</w:t>
            </w:r>
          </w:p>
        </w:tc>
      </w:tr>
    </w:tbl>
    <w:p>
      <w:r>
        <w:rPr>
          <w:b w:val="0"/>
          <w:i w:val="0"/>
        </w:rPr>
        <w:t>Ghi chú :</w:t>
      </w:r>
    </w:p>
    <w:p>
      <w:r>
        <w:rPr>
          <w:b w:val="0"/>
          <w:i w:val="0"/>
        </w:rPr>
        <w:t>- Củi tính theo “ mét địa phương”</w:t>
      </w:r>
    </w:p>
    <w:p>
      <w:r>
        <w:rPr>
          <w:b w:val="0"/>
          <w:i w:val="0"/>
        </w:rPr>
        <w:t>- Vải : đối với cán bộ, công nhân viên năm 1981 Nhà nước sẽ bán một cái áo hoặc một cái quần nhưng bình quân không quá 2m,5 khổ chiếc ( vải bán là ka-ky – Pôpơlin – lục chéo ) nhưng các ngành cố gắng thực hiện kế hoạch Nhà nước vượt mức, đóng góp nhiều cho ngân sách, thì tùy tình hình thực tế có thể đưa vải tới bán giá cung cấp và bù lỗ.</w:t>
      </w:r>
    </w:p>
    <w:p>
      <w:r>
        <w:rPr>
          <w:b w:val="0"/>
          <w:i w:val="0"/>
        </w:rPr>
        <w:t>b. Người ăn theo :</w:t>
      </w:r>
    </w:p>
    <w:p>
      <w:r>
        <w:rPr>
          <w:b w:val="0"/>
          <w:i w:val="0"/>
        </w:rPr>
        <w:t>Những người ăn theo được hưởng chế độ cung cấp hàng tháng như sau :</w:t>
      </w:r>
    </w:p>
    <w:p>
      <w:r>
        <w:rPr>
          <w:b w:val="0"/>
          <w:i w:val="0"/>
        </w:rPr>
        <w:t>- Thịt heo 250gam/tháng</w:t>
      </w:r>
    </w:p>
    <w:p>
      <w:r>
        <w:rPr>
          <w:b w:val="0"/>
          <w:i w:val="0"/>
        </w:rPr>
        <w:t>- Nước mắm 1/2 lít/tháng</w:t>
      </w:r>
    </w:p>
    <w:p>
      <w:r>
        <w:rPr>
          <w:b w:val="0"/>
          <w:i w:val="0"/>
        </w:rPr>
        <w:t>- Đường cát 250gam/tháng</w:t>
      </w:r>
    </w:p>
    <w:p>
      <w:r>
        <w:rPr>
          <w:b w:val="0"/>
          <w:i w:val="0"/>
        </w:rPr>
        <w:t>- Xà bông giặt 100gam/tháng</w:t>
      </w:r>
    </w:p>
    <w:p>
      <w:r>
        <w:rPr>
          <w:b w:val="0"/>
          <w:i w:val="0"/>
        </w:rPr>
        <w:t>- Vải 2m,00/năm (vải khổ chiếc)</w:t>
      </w:r>
    </w:p>
    <w:p>
      <w:r>
        <w:rPr>
          <w:b w:val="0"/>
          <w:i w:val="0"/>
        </w:rPr>
        <w:t>- Gạo cấp theo chế độ hiện hành.</w:t>
      </w:r>
    </w:p>
    <w:p>
      <w:r>
        <w:rPr>
          <w:b w:val="0"/>
          <w:i w:val="0"/>
        </w:rPr>
        <w:t>c. 30 định xuất xã :</w:t>
      </w:r>
    </w:p>
    <w:p>
      <w:r>
        <w:rPr>
          <w:b w:val="0"/>
          <w:i w:val="0"/>
        </w:rPr>
        <w:t>- Xà bông giặt 250gam/tháng</w:t>
      </w:r>
    </w:p>
    <w:p>
      <w:r>
        <w:rPr>
          <w:b w:val="0"/>
          <w:i w:val="0"/>
        </w:rPr>
        <w:t>- Vải 2m5 người/năm</w:t>
      </w:r>
    </w:p>
    <w:p>
      <w:r>
        <w:rPr>
          <w:b w:val="0"/>
          <w:i w:val="0"/>
        </w:rPr>
        <w:t>- Gạo cấp theo chế độ hiện hành.</w:t>
      </w:r>
    </w:p>
    <w:p>
      <w:r>
        <w:rPr>
          <w:b w:val="0"/>
          <w:i w:val="0"/>
        </w:rPr>
        <w:t>3. Những đối tượng được hưởng chế độ cung cấp theo định lượng, nhưng mua theo giá bán lẻ Nhà nước ( được ngân sách tăng thêm kinh phí để cấp bù ) như :</w:t>
      </w:r>
    </w:p>
    <w:p>
      <w:r>
        <w:rPr>
          <w:b w:val="0"/>
          <w:i w:val="0"/>
        </w:rPr>
        <w:t>Ca ba, độc hại, các giường bệnh, các chế độ bồi dưỡng tiếp khách, hiến máu, bồi dưỡng cho các diễn viên...</w:t>
      </w:r>
    </w:p>
    <w:p>
      <w:r>
        <w:rPr>
          <w:b w:val="0"/>
          <w:i w:val="0"/>
        </w:rPr>
        <w:t>(Tiêu chuẩn đỉnh lượng giữ nguyên như các văn bản Nhà nước đã qui định)</w:t>
      </w:r>
    </w:p>
    <w:p>
      <w:r>
        <w:rPr>
          <w:b w:val="0"/>
          <w:i w:val="0"/>
        </w:rPr>
        <w:t>4. Những đối tượng được hưởng chế độ, tiêu chuẩn định lượng nhưng mua theo giá bán lẻ Nhà nước không được ngân sách cấp bù như :</w:t>
      </w:r>
    </w:p>
    <w:p>
      <w:r>
        <w:rPr>
          <w:b w:val="0"/>
          <w:i w:val="0"/>
        </w:rPr>
        <w:t>- Vải đám tang</w:t>
      </w:r>
    </w:p>
    <w:p>
      <w:r>
        <w:rPr>
          <w:b w:val="0"/>
          <w:i w:val="0"/>
        </w:rPr>
        <w:t>- Tiêu chuẩn thực phẩm của người sanh (nữ CB-CNV)</w:t>
      </w:r>
    </w:p>
    <w:p>
      <w:r>
        <w:rPr>
          <w:b w:val="0"/>
          <w:i w:val="0"/>
        </w:rPr>
        <w:t>5. Ngành Thương nghiệp, UBND các địa phương cần cải tiến tổ chức và phương thức cung cấp, đảm bảo hàng hóa đến tay người tiêu dùng thuận tiện, đủ số lượng, đúng chất lượng, đúng giá qui định của Nhà nước và của UBND Tỉnh.</w:t>
      </w:r>
    </w:p>
    <w:p>
      <w:r>
        <w:rPr>
          <w:b w:val="0"/>
          <w:i w:val="0"/>
        </w:rPr>
        <w:t>Chấn chỉnh các nhà ăn tập thể của xí nghiệp, cơ quan, trường học, kiên quyết khắc phục tệ nạn tham ô, lãng phí, cửa quyền và các biểu hiện tiêu cực khác.</w:t>
      </w:r>
    </w:p>
    <w:p>
      <w:r>
        <w:rPr>
          <w:b w:val="0"/>
          <w:i w:val="0"/>
        </w:rPr>
        <w:t>Các cửa hàng, nhà ăn tập thể phải công bố rõ tiêu chuẩn định lượng các mặt hàng cung cấp và giá qui định của Nhà nước.</w:t>
      </w:r>
    </w:p>
    <w:p>
      <w:r>
        <w:rPr>
          <w:b w:val="0"/>
          <w:i w:val="0"/>
        </w:rPr>
        <w:t>- Ngoài phần thu mua theo chỉ tiêu KH Nhà nước giao, Ty Thương nghiệp cần mở rộng kinh doanh, mua tận gốc nơi SX theo giá thỏa thuận, nhất là nơi có sản xuất tập trung để bổ sung thêm nguồn hàng hóa cung cấp theo định lượng cho cán bộ, công nhân viên chức theo giá cung cấp, đồng thời mở rộng mạng lưới bán lẻ theo giá kinh doanh thương nghiệp để chiếm lĩnh và làm chủ thị trường, kéo giá thị trường xuống mức hợp lý.</w:t>
      </w:r>
    </w:p>
    <w:p>
      <w:r>
        <w:rPr>
          <w:b w:val="0"/>
          <w:i w:val="0"/>
        </w:rPr>
        <w:t>- Các ngành SX, kinh doanh trong Tỉnh có trách nhiệm giao các sản phẩm của ngành mình sản xuất hoặc kinh doanh cho ngành Thương nghiệp theo sự chỉ đạo của UBND Tỉnh, hàng hóa đó phải đảm bảo đúng chất lượng, đúng thời gian để ngành Thương nghiệp đảm bảo cung cấp đúng định lượng như đã nói ở trên.</w:t>
      </w:r>
    </w:p>
    <w:p>
      <w:r>
        <w:rPr>
          <w:b w:val="0"/>
          <w:i w:val="0"/>
        </w:rPr>
        <w:t>- Ủy ban kế hoạch Tỉnh, các ngành tổng hợp, các ngành quản lý phân phối lưu thông phải đảm bảo cung cấp vật tư, hàng hóa, tiền mặt... để đáp ứng tốt cho các nhu cầu sản xuất, thu mua...</w:t>
      </w:r>
    </w:p>
    <w:p>
      <w:r>
        <w:rPr>
          <w:b w:val="0"/>
          <w:i w:val="0"/>
        </w:rPr>
        <w:t>- Các đoàn thể :Mặt trận, Công đoàn, Đoàn TN, Phụ nữ thuộc các cấp, các ngành khối Nội chính v.v...Phối hợp mở rộng hoạt động giáo dục và thanh tra nhân dân, tham gia quản lý phân phối hàng hóa ở các công ty, cửa hàng của Thương nghiệp và các cơ quan xí nghiệp, trường học. Đồng thời phối hợp giáo dục, giúp đỡ và kiểm tra công nhân viên chức làm công tác lưu thông phân phối. Trong lĩnh vực vận tải, bảo quản và phân phối hàng hóa.</w:t>
      </w:r>
    </w:p>
    <w:p>
      <w:r>
        <w:rPr>
          <w:b w:val="0"/>
          <w:i w:val="0"/>
        </w:rPr>
        <w:t>6. Công tác đảm bảo đời sống cho cán bộ công nhân viên chức làm công tác hết sức cấp bách và cũng là trách nhiệm chung của cấp ủy, chính quyền, đoàn thể các cấp mà trực tiếp là các ngành sản xuất và phân phối lưu thông.</w:t>
      </w:r>
    </w:p>
    <w:p>
      <w:r>
        <w:rPr>
          <w:b w:val="0"/>
          <w:i w:val="0"/>
        </w:rPr>
        <w:t>Các ngành, các cấp phải nhận thức đầy đủ tầm quan trọng của công tác này, mà cố gắng thực hiện, đóng góp tích cực vào việc thực hiện chủ trương của Nhà nước của Tỉnh, đồng thời cũng làm cho mọi người thấy rõ được khó khăn chung của đất nước, của Tỉnh, thấy được sự cố gắng của Trung ương, của Tỉnh Ủy, Ủy ban Tỉnh và của các ngành, mà tích cực tăng năng suất lao động, hạ giá thành sản phẩm, tăng cường thu mua nắm nguồn hàng vào tay Nhà nước, làm tốt công tác quản lý thị trường phục vụ tốt cho nhu cầu xã hội.</w:t>
      </w:r>
    </w:p>
    <w:p>
      <w:r>
        <w:rPr>
          <w:b w:val="0"/>
          <w:i w:val="0"/>
        </w:rPr>
        <w:t>Các đồng chí : Chủ nhiệm Ủy ban kế hoạch, Trưởng Ty Tài chánh, Thư ký Liên hiệp công đoàn, Trưởng Ty Thương nghiệp, các đồng chí thủ trưởng, các đơn vị sản xuất kinh doanh, Ủy ban nhân dân các huyện thị chịu trách nhiệm thi hành quyết định nầy.</w:t>
      </w:r>
    </w:p>
    <w:p>
      <w:r>
        <w:rPr>
          <w:b w:val="0"/>
          <w:i w:val="0"/>
        </w:rPr>
        <w:t>Quyết định có hiệu lực thi hành kể từ ngày 1 tháng 7 năm 1981, các văn bản trái với quyết định này đều không còn giá trị./.</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TM.ỦY BAN NHÂN DÂN TỈNH BẾN TRE</w:t>
            </w:r>
            <w:r>
              <w:rPr>
                <w:b w:val="0"/>
                <w:i w:val="0"/>
              </w:rPr>
              <w:br/>
            </w:r>
            <w:r>
              <w:rPr>
                <w:b/>
                <w:i w:val="0"/>
              </w:rPr>
              <w:t>CHỦ TỊCH</w:t>
            </w:r>
            <w:r>
              <w:rPr>
                <w:b w:val="0"/>
                <w:i w:val="0"/>
              </w:rPr>
              <w:br/>
            </w:r>
            <w:r>
              <w:rPr>
                <w:b/>
                <w:i/>
              </w:rPr>
              <w:t xml:space="preserve"> </w:t>
            </w:r>
            <w:r>
              <w:rPr>
                <w:b w:val="0"/>
                <w:i/>
              </w:rPr>
              <w:t xml:space="preserve"> </w:t>
            </w:r>
            <w:r>
              <w:rPr>
                <w:b/>
                <w:i/>
              </w:rPr>
              <w:t>(Đã ký)</w:t>
            </w:r>
            <w:r>
              <w:rPr>
                <w:b w:val="0"/>
                <w:i w:val="0"/>
              </w:rPr>
              <w:br/>
            </w:r>
            <w:r>
              <w:rPr>
                <w:b/>
                <w:i w:val="0"/>
              </w:rPr>
              <w:t>HUỲNH THANH MUA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