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32/1999/CT-UB Về việc tiếp tục chỉ đạo thực hiện chế độ kế toán hộ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w:t>
            </w:r>
            <w:r>
              <w:rPr>
                <w:b/>
                <w:i w:val="0"/>
              </w:rPr>
              <w:t xml:space="preserve"> NHÂN DÂN</w:t>
            </w:r>
            <w:r>
              <w:rPr>
                <w:b w:val="0"/>
                <w:i w:val="0"/>
              </w:rPr>
              <w:br/>
            </w:r>
            <w:r>
              <w:rPr>
                <w:b/>
                <w:i w:val="0"/>
              </w:rPr>
              <w:t xml:space="preserve">TỈNH </w:t>
            </w:r>
            <w:r>
              <w:rPr>
                <w:b/>
                <w:i w:val="0"/>
              </w:rPr>
              <w:t>NGHỆ AN</w:t>
            </w:r>
            <w:r>
              <w:rPr>
                <w:b w:val="0"/>
                <w:i w:val="0"/>
              </w:rPr>
              <w:br/>
            </w:r>
            <w:r>
              <w:rPr>
                <w:b/>
                <w:i w:val="0"/>
              </w:rPr>
              <w:t>----------------------</w:t>
            </w:r>
            <w:r>
              <w:rPr>
                <w:b w:val="0"/>
                <w:i w:val="0"/>
              </w:rPr>
              <w:br/>
            </w:r>
            <w:r>
              <w:rPr>
                <w:b w:val="0"/>
                <w:i w:val="0"/>
              </w:rPr>
              <w:t>Số: 32/1999/CT-UB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Nghệ An, ngày 21 tháng 7 năm 1999</w:t>
            </w:r>
          </w:p>
        </w:tc>
      </w:tr>
    </w:tbl>
    <w:p>
      <w:r>
        <w:rPr>
          <w:b/>
          <w:i w:val="0"/>
        </w:rPr>
        <w:t>CHỈ THỊ CỦA UỶ BAN NHÂN DÂN TỈNH NGHỆ AN</w:t>
      </w:r>
    </w:p>
    <w:p>
      <w:r>
        <w:rPr>
          <w:b/>
          <w:i/>
        </w:rPr>
        <w:t>Về việc tiếp tục chỉ đạo thực hiện chế độ kế toán hộ kinh doanh</w:t>
      </w:r>
    </w:p>
    <w:p>
      <w:r>
        <w:rPr>
          <w:b/>
          <w:i/>
        </w:rPr>
        <w:t>--------------------</w:t>
      </w:r>
    </w:p>
    <w:p>
      <w:pPr>
        <w:jc w:val="both"/>
      </w:pPr>
      <w:r>
        <w:rPr>
          <w:b w:val="0"/>
          <w:i/>
        </w:rPr>
        <w:t xml:space="preserve">Thực </w:t>
      </w:r>
      <w:r>
        <w:rPr>
          <w:b w:val="0"/>
          <w:i/>
        </w:rPr>
        <w:t>hiện Quyết định số 1271/TC/QĐ/CĐKT ngày 14/12/1995 của Bộ Tài chính "Về ban hành chế độ kế toán hộ kinh doanh", trong thời gian qua công tác thực hiện chế độ kế toán hộ kinh doanh trên địa bàn tỉnh ta, đã chuyển biến đáng kể các hộ kinh doanh đã thực hiện mở sổ sách kế toán, hoá đơn chứng từ theo đúng chế độ kế toán hộ kinh doanh, việc kê khai nộp thuế GTGT và nộp thuế TNDN dựa vào số liệu ghi trên sổ sách kế toán của từng hộ có cơ sở, gópphần tạo điều kiện thuận lợi cho ngành thuế trong việc kiểm tra, kê khai, tính theo luật thuế hiện hành.</w:t>
      </w:r>
    </w:p>
    <w:p>
      <w:pPr>
        <w:jc w:val="both"/>
      </w:pPr>
      <w:r>
        <w:rPr>
          <w:b w:val="0"/>
          <w:i/>
        </w:rPr>
        <w:t>Tuy vậy, vẫn còn hiện tượng một số hộ kinh doanh trên địa bàn chưa thực hiện đầy đủ chế độ kế toán, hoá đơn chứng từ theo đúng chế độ quy định.Nếu việc kê khai tính thuế GTGT và thuế TNDN hàng tháng đối với các cơ sở thuộc kinh tế ngoài quốc doanh chưa chính xác dẫn đến còn thất thu lớn về thuế đối với khu vực kinh tế này.</w:t>
      </w:r>
    </w:p>
    <w:p>
      <w:pPr>
        <w:jc w:val="both"/>
      </w:pPr>
      <w:r>
        <w:rPr>
          <w:b w:val="0"/>
          <w:i/>
        </w:rPr>
        <w:t>Ngành thuế tính thuế GTGT, thuế TNDN phải nộp đối với các hộ kinh doanh chủ yếu là theo phương pháp ấn định doanh thu tính thuế, chưa phản ánh đúng với kết quả thực tế sản xuất kinh doanh của từng hộ và chưa đúng quy trình quản lý thu thuế hộ cá thể kinh doanh công thương nghiệp theo Quyết định số1345/TCT-QĐ-TCCB ngày 09/12/1998 của Tổng cục Thuế.</w:t>
      </w:r>
    </w:p>
    <w:p>
      <w:pPr>
        <w:jc w:val="both"/>
      </w:pPr>
      <w:r>
        <w:rPr>
          <w:b w:val="0"/>
          <w:i/>
        </w:rPr>
        <w:t>Để khắc phục tình trạng trên, UBND tỉnh Nghệ An yêu cầu Ban chỉ đạothực hiện các luật thuế mới trực tiếp là Cục Thuế Nghệ An phối hợp chặt chẽ vớicác Sở, ban ngành liên quan, các ban chỉ đạo các luật thuế mới của các huyện,thành phố, thị xã thực hiện tốt một số nội dung sau đây:</w:t>
      </w:r>
    </w:p>
    <w:p>
      <w:pPr>
        <w:jc w:val="both"/>
      </w:pPr>
      <w:r>
        <w:rPr>
          <w:b w:val="0"/>
          <w:i w:val="0"/>
        </w:rPr>
        <w:t>1. Yêu cầu tất cả các hộ sản xuất kinh doanh trên địa bàn thuộc các đối tượng ghi tại Điều 2 "Chế độ kế toán hộ kinh doanh áp dụng cho tất cả cá hộ sản xuất, kinh doanh chưa đủ điều kiện thành lập doanh nghiệp tư nhân và công ty đang hoạt động trong các lĩnh vực sản xuất công nghiệp, nông lâm nghiệp, xây dựng, vận tải, khai thác tài nguyên môi trường thuỷ sản, kinh doanh thương nghiệp, ăn uống, dịch vụ và các dịch vụ khác về văn hoá, giáo dục, đào tạo,khám chữa bệnh... (dưới đây gọi tắt là hộ kinh doanh)" đều phải thực hiện nghiêm túc chế độ kế toán hộ kinh doanh theo Quyết định số 1271TC/QĐ/BTC ngày16/7/1998 của Bộ Tài chính.</w:t>
      </w:r>
    </w:p>
    <w:p>
      <w:pPr>
        <w:jc w:val="both"/>
      </w:pPr>
      <w:r>
        <w:rPr>
          <w:b w:val="0"/>
          <w:i w:val="0"/>
        </w:rPr>
        <w:t>2. Giao Cục thuế Nghệ An tổ chức chỉ đạo, kiểm tra, tập huấn hướng dẫn cán bộ thuế của các Chi Cục thuế huyện, thành phố, thị xã và các hộ kinh doanh (nhất là hộ lớn có môn bài bậc 1, bậc 2) thực hiện tốt chế độ kế toán hoá đơn chứng từ hộ kinh doanh của Bộ Tài chính quy định.</w:t>
      </w:r>
    </w:p>
    <w:p>
      <w:pPr>
        <w:jc w:val="both"/>
      </w:pPr>
      <w:r>
        <w:rPr>
          <w:b w:val="0"/>
          <w:i w:val="0"/>
        </w:rPr>
        <w:t>3. Những hộ sản xuất kinh doanh không thực hiện hoặc thực hiện không đầy đủ cácquy định chế độ kế toán hiện hành, mà vẫn kinh doanh thì cơ quan thuế có quyền ấn định doanh thu tính thuế theo kết quả điều tra, tính thuế và thu đủ thuế phải nộp vào ngân sách Nhà nước. Đồng thời xử lý vi phạm hành chính trong lĩnh vực thuế theo luật định.</w:t>
      </w:r>
    </w:p>
    <w:p>
      <w:pPr>
        <w:jc w:val="both"/>
      </w:pPr>
      <w:r>
        <w:rPr>
          <w:b w:val="0"/>
          <w:i w:val="0"/>
        </w:rPr>
        <w:t>4. Giao Sở Tài chính-Vật giá, các Sở, ban ngành có liên quan; Hội đồng liên minhcác hợp tác xã và doanh nghiệp ngoài quốc doanh..., Chủ tịch UBND các huyện, thành phố, thị xã, Ban chỉ đạo các luật thuế mới các cấp, chịu trách nhiệm phối hợp với ngành thuế để chỉ đạo thực hiện tốt chỉ thị này.</w:t>
      </w:r>
    </w:p>
    <w:p>
      <w:pPr>
        <w:jc w:val="both"/>
      </w:pPr>
      <w:r>
        <w:rPr>
          <w:b w:val="0"/>
          <w:i w:val="0"/>
        </w:rPr>
        <w:t xml:space="preserve">Các cơ quan thông tin đại chúng có trách nhiệm tuyên truyền để các hộ kinh doanh và nhân dân hiểu rõ và thực hiêu rõ và thực hiện tốt Chỉ thị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 xml:space="preserve">T/M </w:t>
            </w:r>
            <w:r>
              <w:rPr>
                <w:b/>
                <w:i w:val="0"/>
              </w:rPr>
              <w:t>ỦY BAN NHÂN DÂN</w:t>
            </w:r>
            <w:r>
              <w:rPr>
                <w:b/>
                <w:i w:val="0"/>
              </w:rPr>
              <w:t xml:space="preserve"> TỈNH</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Hồ Xuân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