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32/2001/QĐ-BCN Về việc sáp nhập Trung tâm Newtechcen vào cơ quan Tổng Công ty Khoáng sản Việt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32/2001/QĐ-BCN </w:t>
      </w:r>
      <w:r>
        <w:rPr>
          <w:b w:val="0"/>
          <w:i w:val="0"/>
        </w:rPr>
        <w:br/>
      </w:r>
      <w:r>
        <w:rPr>
          <w:b w:val="0"/>
          <w:i w:val="0"/>
        </w:rPr>
        <w:br/>
      </w:r>
      <w:r>
        <w:rPr>
          <w:b w:val="0"/>
          <w:i/>
        </w:rPr>
        <w:t xml:space="preserve">Hà Nội, ngày 30 tháng 05 năm 2001 </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sáp nhập Trung tâm Newtechcen vào cơ quan Tổng Công ty Khoáng sản Việt Nam</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Theo đề nghị của Hội đồng quản trị Tổng Công ty Khoáng sản Việt Nam (Tờ trình số 361/CV-TCLĐ ngày 16 tháng 5 năm 2001) và Vụ trưởng Vụ Tổ chức - Cán bộ,</w:t>
      </w:r>
      <w:r>
        <w:rPr>
          <w:b w:val="0"/>
          <w:i w:val="0"/>
        </w:rPr>
        <w:br/>
      </w:r>
      <w:r>
        <w:rPr>
          <w:b/>
          <w:i w:val="0"/>
        </w:rPr>
        <w:t>QUYẾT ĐỊNH:</w:t>
      </w:r>
      <w:r>
        <w:rPr>
          <w:b w:val="0"/>
          <w:i w:val="0"/>
        </w:rPr>
        <w:br/>
      </w:r>
      <w:r>
        <w:rPr>
          <w:b/>
          <w:i w:val="0"/>
        </w:rPr>
        <w:t>Điều 1.</w:t>
      </w:r>
      <w:r>
        <w:rPr>
          <w:b/>
          <w:i w:val="0"/>
        </w:rPr>
        <w:t xml:space="preserve"> </w:t>
      </w:r>
      <w:r>
        <w:rPr>
          <w:b w:val="0"/>
          <w:i w:val="0"/>
        </w:rPr>
        <w:t>Sáp nhập Trung tâm Newtechcen đơn vị thành viên trực thuộc Tổng Công ty Khoáng sản Việt Nam vào cơ quan Tổng Công ty Khoáng sản Việt Nam.</w:t>
      </w:r>
      <w:r>
        <w:rPr>
          <w:b w:val="0"/>
          <w:i w:val="0"/>
        </w:rPr>
        <w:br/>
      </w:r>
      <w:r>
        <w:rPr>
          <w:b/>
          <w:i w:val="0"/>
        </w:rPr>
        <w:t>Điều 2.</w:t>
      </w:r>
      <w:r>
        <w:rPr>
          <w:b/>
          <w:i w:val="0"/>
        </w:rPr>
        <w:t xml:space="preserve"> </w:t>
      </w:r>
      <w:r>
        <w:rPr>
          <w:b w:val="0"/>
          <w:i w:val="0"/>
        </w:rPr>
        <w:t>Tổng giám đốc Tổng Công ty Khoáng sản Việt Nam có trách nhiệm tổ chức việc sáp nhập trên theo đúng các quy định hiện hành của Nhà nước.</w:t>
      </w:r>
      <w:r>
        <w:rPr>
          <w:b/>
          <w:i w:val="0"/>
        </w:rPr>
        <w:t xml:space="preserve"> </w:t>
      </w:r>
      <w:r>
        <w:rPr>
          <w:b w:val="0"/>
          <w:i w:val="0"/>
        </w:rPr>
        <w:br/>
      </w:r>
      <w:r>
        <w:rPr>
          <w:b/>
          <w:i w:val="0"/>
        </w:rPr>
        <w:t>Điều 3.</w:t>
      </w:r>
      <w:r>
        <w:rPr>
          <w:b w:val="0"/>
          <w:i w:val="0"/>
        </w:rPr>
        <w:t xml:space="preserve"> Quyết định này có hiệu lực thi hành sau 15 ngày kể từ ngày ký và thay thế Quyết định số 997 QĐ/TCCB ngày 11 tháng 4 năm 1996 của Bộ trưởng Bộ Công nghiệp.</w:t>
      </w:r>
      <w:r>
        <w:rPr>
          <w:b w:val="0"/>
          <w:i w:val="0"/>
        </w:rPr>
        <w:br/>
      </w:r>
      <w:r>
        <w:rPr>
          <w:b w:val="0"/>
          <w:i w:val="0"/>
        </w:rPr>
        <w:t>Chánh Văn phòng Bộ, Chánh Thanh tra Bộ, các Vụ trưởng, Cục trưởng, Chủ tịch Hội đồng quản trị và Tổng giám đốc Tổng Công ty Khoáng sản Việt Nam, Giám đốc Trung tâm Newtechcen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br/>
      </w:r>
      <w:r>
        <w:br/>
      </w:r>
      <w:r>
        <w:rPr>
          <w:b w:val="0"/>
          <w:i w:val="0"/>
        </w:rPr>
        <w:br/>
      </w:r>
      <w:r>
        <w:rPr>
          <w:b w:val="0"/>
          <w:i w:val="0"/>
        </w:rPr>
        <w:br/>
      </w:r>
      <w:r>
        <w:rPr>
          <w:b/>
          <w:i w:val="0"/>
        </w:rPr>
        <w:t>BỘ TRƯỞNG BỘ CÔNG NGHIỆP</w:t>
      </w:r>
      <w:r>
        <w:br/>
      </w:r>
      <w:r>
        <w:rPr>
          <w:b w:val="0"/>
          <w:i w:val="0"/>
        </w:rPr>
        <w:br/>
        <w:t xml:space="preserve">           </w:t>
      </w:r>
      <w:r>
        <w:br/>
      </w:r>
      <w:r>
        <w:rPr>
          <w:b/>
          <w:i/>
        </w:rPr>
        <w:t>(Đã ký)</w:t>
      </w:r>
      <w:r>
        <w:rPr>
          <w:b w:val="0"/>
          <w:i w:val="0"/>
        </w:rPr>
        <w:br/>
      </w:r>
      <w:r>
        <w:rPr>
          <w:b w:val="0"/>
          <w:i w:val="0"/>
        </w:rPr>
        <w:t xml:space="preserve"> </w:t>
      </w:r>
      <w:r>
        <w:br/>
      </w:r>
      <w:r>
        <w:rPr>
          <w:b w:val="0"/>
          <w:i w:val="0"/>
        </w:rPr>
        <w:br/>
        <w:t xml:space="preserve">           </w:t>
      </w:r>
      <w:r>
        <w:br/>
      </w:r>
      <w:r>
        <w:rPr>
          <w:b/>
          <w:i w:val="0"/>
        </w:rPr>
        <w:t>Đặng Vũ Chư</w:t>
      </w:r>
      <w:r>
        <w:br/>
      </w:r>
      <w: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br/>
            </w:r>
            <w:r>
              <w:br/>
            </w:r>
          </w:p>
        </w:tc>
        <w:tc>
          <w:tcPr>
            <w:tcW w:type="dxa" w:w="4320"/>
          </w:tcPr>
          <w:p>
            <w:r>
              <w:rPr>
                <w:b w:val="0"/>
                <w:i w:val="0"/>
              </w:rPr>
              <w:br/>
            </w:r>
            <w:r>
              <w:rPr>
                <w:b/>
                <w:i w:val="0"/>
              </w:rPr>
              <w:t>BỘ TRƯỞNG BỘ CÔNG NGHIỆP</w:t>
            </w:r>
            <w:r>
              <w:br/>
            </w:r>
            <w:r>
              <w:rPr>
                <w:b w:val="0"/>
                <w:i w:val="0"/>
              </w:rPr>
              <w:br/>
              <w:t xml:space="preserve">           </w:t>
            </w:r>
            <w:r>
              <w:br/>
            </w:r>
            <w:r>
              <w:rPr>
                <w:b/>
                <w:i/>
              </w:rPr>
              <w:t>(Đã ký)</w:t>
            </w:r>
            <w:r>
              <w:rPr>
                <w:b w:val="0"/>
                <w:i w:val="0"/>
              </w:rPr>
              <w:br/>
            </w:r>
            <w:r>
              <w:rPr>
                <w:b w:val="0"/>
                <w:i w:val="0"/>
              </w:rPr>
              <w:t xml:space="preserve"> </w:t>
            </w:r>
            <w:r>
              <w:br/>
            </w:r>
            <w:r>
              <w:rPr>
                <w:b w:val="0"/>
                <w:i w:val="0"/>
              </w:rPr>
              <w:br/>
              <w:t xml:space="preserve">           </w:t>
            </w:r>
            <w:r>
              <w:br/>
            </w:r>
            <w:r>
              <w:rPr>
                <w:b/>
                <w:i w:val="0"/>
              </w:rPr>
              <w:t>Đặng Vũ Chư</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