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32/2012/QĐ-UBND Về việc điều chỉnh mức thu phí sử dụng đường bộ thuộc Dự án BOT </w:t>
        <w:br/>
        <w:t xml:space="preserve">nâng cấp, mở rộng QL13 đoạn từ Km62+700 “Cầu Tham Rớt, </w:t>
        <w:br/>
        <w:t>ranh tỉnh Bình Dương” đến Km95+000, thị xã Bình Long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BÌNH PHƯỚC</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 xml:space="preserve">Số: </w:t>
      </w:r>
      <w:r>
        <w:rPr>
          <w:b w:val="0"/>
          <w:i w:val="0"/>
        </w:rPr>
        <w:t>32</w:t>
      </w:r>
      <w:r>
        <w:rPr>
          <w:b w:val="0"/>
          <w:i w:val="0"/>
        </w:rPr>
        <w:t>/2012/QĐ-UBND</w:t>
      </w:r>
      <w:r>
        <w:rPr>
          <w:b w:val="0"/>
          <w:i w:val="0"/>
        </w:rPr>
        <w:br/>
      </w:r>
      <w:r>
        <w:rPr>
          <w:b w:val="0"/>
          <w:i w:val="0"/>
        </w:rPr>
        <w:br/>
      </w:r>
      <w:r>
        <w:rPr>
          <w:b w:val="0"/>
          <w:i/>
        </w:rPr>
        <w:t>Đồng Xoài, ngày 1</w:t>
      </w:r>
      <w:r>
        <w:rPr>
          <w:b w:val="0"/>
          <w:i/>
        </w:rPr>
        <w:t>9</w:t>
      </w:r>
      <w:r>
        <w:rPr>
          <w:b w:val="0"/>
          <w:i/>
        </w:rPr>
        <w:t xml:space="preserve"> tháng </w:t>
      </w:r>
      <w:r>
        <w:rPr>
          <w:b w:val="0"/>
          <w:i/>
        </w:rPr>
        <w:t>10</w:t>
      </w:r>
      <w:r>
        <w:rPr>
          <w:b w:val="0"/>
          <w:i/>
        </w:rPr>
        <w:t xml:space="preserve"> năm 2012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điều chỉnh mức thu phí sử dụng đường bộ thuộc </w:t>
      </w:r>
      <w:r>
        <w:rPr>
          <w:b/>
          <w:i w:val="0"/>
        </w:rPr>
        <w:t>D</w:t>
      </w:r>
      <w:r>
        <w:rPr>
          <w:b/>
          <w:i w:val="0"/>
        </w:rPr>
        <w:t xml:space="preserve">ự án BOT </w:t>
      </w:r>
      <w:r>
        <w:rPr>
          <w:b w:val="0"/>
          <w:i w:val="0"/>
        </w:rPr>
        <w:br/>
      </w:r>
      <w:r>
        <w:rPr>
          <w:b/>
          <w:i w:val="0"/>
        </w:rPr>
        <w:t xml:space="preserve">nâng cấp, mở rộng QL13 đoạn từ </w:t>
      </w:r>
      <w:r>
        <w:rPr>
          <w:b/>
          <w:i w:val="0"/>
        </w:rPr>
        <w:t>K</w:t>
      </w:r>
      <w:r>
        <w:rPr>
          <w:b/>
          <w:i w:val="0"/>
        </w:rPr>
        <w:t xml:space="preserve">m62+700 “Cầu Tham Rớt, </w:t>
      </w:r>
      <w:r>
        <w:rPr>
          <w:b w:val="0"/>
          <w:i w:val="0"/>
        </w:rPr>
        <w:br/>
      </w:r>
      <w:r>
        <w:rPr>
          <w:b/>
          <w:i w:val="0"/>
        </w:rPr>
        <w:t xml:space="preserve">ranh tỉnh Bình Dương” đến Km95+000, thị xã </w:t>
      </w:r>
      <w:r>
        <w:rPr>
          <w:b/>
          <w:i w:val="0"/>
        </w:rPr>
        <w:t>B</w:t>
      </w:r>
      <w:r>
        <w:rPr>
          <w:b/>
          <w:i w:val="0"/>
        </w:rPr>
        <w:t xml:space="preserve">ình Long </w:t>
      </w:r>
      <w:r>
        <w:rPr>
          <w:b w:val="0"/>
          <w:i w:val="0"/>
        </w:rPr>
        <w:br/>
      </w:r>
      <w:r>
        <w:rPr>
          <w:b/>
          <w:i w:val="0"/>
        </w:rPr>
        <w:t xml:space="preserve"> </w:t>
      </w:r>
      <w:r>
        <w:rPr>
          <w:b w:val="0"/>
          <w:i w:val="0"/>
        </w:rPr>
        <w:br/>
      </w:r>
      <w:r>
        <w:rPr>
          <w:b/>
          <w:i w:val="0"/>
        </w:rPr>
        <w:t>ỦY BAN NHÂN DÂN TỈNH BÌNH PHƯỚC</w:t>
      </w:r>
      <w:r>
        <w:rPr>
          <w:b w:val="0"/>
          <w:i w:val="0"/>
        </w:rPr>
        <w:br/>
      </w:r>
      <w:r>
        <w:rPr>
          <w:b w:val="0"/>
          <w:i/>
        </w:rPr>
        <w:t>Căn cứ Luật Tổ chức HĐND và UBND ngày 26/11/2003;</w:t>
      </w:r>
      <w:r>
        <w:rPr>
          <w:b w:val="0"/>
          <w:i w:val="0"/>
        </w:rPr>
        <w:br/>
      </w:r>
      <w:r>
        <w:rPr>
          <w:b w:val="0"/>
          <w:i/>
        </w:rPr>
        <w:t>Căn cứ Luật Ban hành văn bản quy phạm pháp luật của HĐND và UBND ngày 03/12/2004;</w:t>
      </w:r>
      <w:r>
        <w:rPr>
          <w:b w:val="0"/>
          <w:i w:val="0"/>
        </w:rPr>
        <w:br/>
      </w:r>
      <w:r>
        <w:rPr>
          <w:b w:val="0"/>
          <w:i/>
        </w:rPr>
        <w:t>Căn cứ Pháp lệnh Phí và lệ phí số 38/2001/PL-UBTVQH10 ngày 28/8/2001;</w:t>
      </w:r>
      <w:r>
        <w:rPr>
          <w:b w:val="0"/>
          <w:i w:val="0"/>
        </w:rPr>
        <w:br/>
      </w:r>
      <w:r>
        <w:rPr>
          <w:b w:val="0"/>
          <w:i/>
        </w:rPr>
        <w:t>Căn cứ Thông tư số 90/2004/TT-BTC ngày 07/9/2004 của Bộ Tài chính hướng dẫn chế độ thu, nộp, quản lý và sử dụng phí sử dụng đường bộ;</w:t>
      </w:r>
      <w:r>
        <w:rPr>
          <w:b w:val="0"/>
          <w:i w:val="0"/>
        </w:rPr>
        <w:br/>
      </w:r>
      <w:r>
        <w:rPr>
          <w:b w:val="0"/>
          <w:i/>
        </w:rPr>
        <w:t>Căn cứ Nghị quyết số 07/2012/NQ-HĐND ngày 06/8/2012 của Hội đồng nhân dân tỉnh Bình Phước về việc điều chỉnh mức thu phí sử dụng đường bộ dự án BOT nâng cấp, mở rộng Quốc lộ 13 đoạn từ Km62+700 (cầu Tham Rớt, ranh tỉnh Bình Dương) đến Km95+000, thị xã Bình Long;</w:t>
      </w:r>
      <w:r>
        <w:rPr>
          <w:b w:val="0"/>
          <w:i w:val="0"/>
        </w:rPr>
        <w:br/>
      </w:r>
      <w:r>
        <w:rPr>
          <w:b w:val="0"/>
          <w:i/>
        </w:rPr>
        <w:t>Theo đề nghị của Giám đốc Sở Giao thông vận tải tại Tờ trình số 59/SGTVT-TTr ngày 13/9/2012,</w:t>
      </w:r>
      <w:r>
        <w:rPr>
          <w:b w:val="0"/>
          <w:i w:val="0"/>
        </w:rPr>
        <w:br/>
      </w:r>
      <w:r>
        <w:rPr>
          <w:b/>
          <w:i w:val="0"/>
        </w:rPr>
        <w:t>QUYẾT ĐỊNH:</w:t>
      </w:r>
      <w:r>
        <w:rPr>
          <w:b w:val="0"/>
          <w:i w:val="0"/>
        </w:rPr>
        <w:br/>
      </w:r>
      <w:r>
        <w:rPr>
          <w:b/>
          <w:i w:val="0"/>
        </w:rPr>
        <w:t xml:space="preserve">Điều 1. </w:t>
      </w:r>
      <w:r>
        <w:rPr>
          <w:b w:val="0"/>
          <w:i w:val="0"/>
        </w:rPr>
        <w:t>Điều chỉnh mức thu phí sử dụng đường bộ thuộc dự án BOT nâng cấp, mở rộng QL13 đoạn từ Km62+700 “ranh tỉnh Bình Dương” đến Km95+000, thị xã Bình Long, tỉnh Bình Phước như sau:</w:t>
      </w:r>
      <w:r>
        <w:rPr>
          <w:b w:val="0"/>
          <w:i w:val="0"/>
        </w:rPr>
        <w:br/>
      </w:r>
      <w:r>
        <w:rPr>
          <w:b w:val="0"/>
          <w:i w:val="0"/>
        </w:rPr>
        <w:t>1. Giá vé thu phí sử dụng đường bộ cho từng loại phương tiện: áp dụng chung cho từng Trạm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PHƯƠNG TIỆN</w:t>
      </w:r>
      <w:r>
        <w:rPr>
          <w:b w:val="0"/>
          <w:i w:val="0"/>
        </w:rPr>
        <w:br/>
      </w:r>
      <w:r>
        <w:rPr>
          <w:b w:val="0"/>
          <w:i w:val="0"/>
        </w:rPr>
        <w:br/>
      </w:r>
      <w:r>
        <w:rPr>
          <w:b/>
          <w:i w:val="0"/>
        </w:rPr>
        <w:t>Vé lượt (đ/vé/lượt)</w:t>
      </w:r>
      <w:r>
        <w:rPr>
          <w:b w:val="0"/>
          <w:i w:val="0"/>
        </w:rPr>
        <w:br/>
      </w:r>
      <w:r>
        <w:rPr>
          <w:b w:val="0"/>
          <w:i w:val="0"/>
        </w:rPr>
        <w:br/>
      </w:r>
      <w:r>
        <w:rPr>
          <w:b/>
          <w:i w:val="0"/>
        </w:rPr>
        <w:t>Vé tháng (đ/vé/tháng)</w:t>
      </w:r>
      <w:r>
        <w:rPr>
          <w:b w:val="0"/>
          <w:i w:val="0"/>
        </w:rPr>
        <w:br/>
      </w:r>
      <w:r>
        <w:rPr>
          <w:b w:val="0"/>
          <w:i w:val="0"/>
        </w:rPr>
        <w:br/>
      </w:r>
      <w:r>
        <w:rPr>
          <w:b/>
          <w:i w:val="0"/>
        </w:rPr>
        <w:t>Vé quý (đ/vé/quý)</w:t>
      </w:r>
      <w:r>
        <w:rPr>
          <w:b w:val="0"/>
          <w:i w:val="0"/>
        </w:rPr>
        <w:br/>
      </w:r>
      <w:r>
        <w:rPr>
          <w:b w:val="0"/>
          <w:i w:val="0"/>
        </w:rPr>
        <w:br/>
      </w:r>
      <w:r>
        <w:rPr>
          <w:b w:val="0"/>
          <w:i w:val="0"/>
        </w:rPr>
        <w:br/>
      </w:r>
      <w:r>
        <w:rPr>
          <w:b w:val="0"/>
          <w:i w:val="0"/>
        </w:rPr>
        <w:br/>
      </w:r>
      <w:r>
        <w:rPr>
          <w:b/>
          <w:i w:val="0"/>
        </w:rPr>
        <w:t>TRẠM THU PHÍ SỐ 01 (TẠI XÃ THÀNH TÂM)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dưới 12 chỗ ngồi;</w:t>
      </w:r>
      <w:r>
        <w:rPr>
          <w:b w:val="0"/>
          <w:i w:val="0"/>
        </w:rPr>
        <w:br/>
      </w:r>
      <w:r>
        <w:rPr>
          <w:b w:val="0"/>
          <w:i w:val="0"/>
        </w:rPr>
        <w:t>Xe tải có trọng tải dưới 2 tấn và các loại xe buýt vận tải khách công cộng.</w:t>
      </w:r>
      <w:r>
        <w:rPr>
          <w:b w:val="0"/>
          <w:i w:val="0"/>
        </w:rPr>
        <w:br/>
      </w:r>
      <w:r>
        <w:rPr>
          <w:b w:val="0"/>
          <w:i w:val="0"/>
        </w:rPr>
        <w:br/>
      </w:r>
      <w:r>
        <w:rPr>
          <w:b w:val="0"/>
          <w:i w:val="0"/>
        </w:rPr>
        <w:t>10.000</w:t>
      </w:r>
      <w:r>
        <w:rPr>
          <w:b w:val="0"/>
          <w:i w:val="0"/>
        </w:rPr>
        <w:br/>
      </w:r>
      <w:r>
        <w:rPr>
          <w:b w:val="0"/>
          <w:i w:val="0"/>
        </w:rPr>
        <w:br/>
      </w:r>
      <w:r>
        <w:rPr>
          <w:b w:val="0"/>
          <w:i w:val="0"/>
        </w:rPr>
        <w:t>300.000</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từ 12 ghế ngồi đến 30 ghế ngồi;</w:t>
      </w:r>
      <w:r>
        <w:rPr>
          <w:b w:val="0"/>
          <w:i w:val="0"/>
        </w:rPr>
        <w:br/>
      </w:r>
      <w:r>
        <w:rPr>
          <w:b w:val="0"/>
          <w:i w:val="0"/>
        </w:rPr>
        <w:t>Xe tải có trọng tải từ 2 tấn đến dưới 4 tấn.</w:t>
      </w:r>
      <w:r>
        <w:rPr>
          <w:b w:val="0"/>
          <w:i w:val="0"/>
        </w:rPr>
        <w:br/>
      </w:r>
      <w:r>
        <w:rPr>
          <w:b w:val="0"/>
          <w:i w:val="0"/>
        </w:rPr>
        <w:br/>
      </w:r>
      <w:r>
        <w:rPr>
          <w:b w:val="0"/>
          <w:i w:val="0"/>
        </w:rPr>
        <w:t>16.000</w:t>
      </w:r>
      <w:r>
        <w:rPr>
          <w:b w:val="0"/>
          <w:i w:val="0"/>
        </w:rPr>
        <w:br/>
      </w:r>
      <w:r>
        <w:rPr>
          <w:b w:val="0"/>
          <w:i w:val="0"/>
        </w:rPr>
        <w:br/>
      </w:r>
      <w:r>
        <w:rPr>
          <w:b w:val="0"/>
          <w:i w:val="0"/>
        </w:rPr>
        <w:t>480.000</w:t>
      </w:r>
      <w:r>
        <w:rPr>
          <w:b w:val="0"/>
          <w:i w:val="0"/>
        </w:rPr>
        <w:br/>
      </w:r>
      <w:r>
        <w:rPr>
          <w:b w:val="0"/>
          <w:i w:val="0"/>
        </w:rPr>
        <w:br/>
      </w:r>
      <w:r>
        <w:rPr>
          <w:b w:val="0"/>
          <w:i w:val="0"/>
        </w:rPr>
        <w:t>1.280.000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từ 31 ghế ngồi chở lên;</w:t>
      </w:r>
      <w:r>
        <w:rPr>
          <w:b w:val="0"/>
          <w:i w:val="0"/>
        </w:rPr>
        <w:br/>
      </w:r>
      <w:r>
        <w:rPr>
          <w:b w:val="0"/>
          <w:i w:val="0"/>
        </w:rPr>
        <w:t xml:space="preserve">Xe tải có trọng tải từ 4 tấn đến dưới 10 tấn. </w:t>
      </w:r>
      <w:r>
        <w:rPr>
          <w:b w:val="0"/>
          <w:i w:val="0"/>
        </w:rPr>
        <w:br/>
      </w:r>
      <w:r>
        <w:rPr>
          <w:b w:val="0"/>
          <w:i w:val="0"/>
        </w:rPr>
        <w:br/>
      </w:r>
      <w:r>
        <w:rPr>
          <w:b w:val="0"/>
          <w:i w:val="0"/>
        </w:rPr>
        <w:t>24.000</w:t>
      </w:r>
      <w:r>
        <w:rPr>
          <w:b w:val="0"/>
          <w:i w:val="0"/>
        </w:rPr>
        <w:br/>
      </w:r>
      <w:r>
        <w:rPr>
          <w:b w:val="0"/>
          <w:i w:val="0"/>
        </w:rPr>
        <w:br/>
      </w:r>
      <w:r>
        <w:rPr>
          <w:b w:val="0"/>
          <w:i w:val="0"/>
        </w:rPr>
        <w:t>720.000</w:t>
      </w:r>
      <w:r>
        <w:rPr>
          <w:b w:val="0"/>
          <w:i w:val="0"/>
        </w:rPr>
        <w:br/>
      </w:r>
      <w:r>
        <w:rPr>
          <w:b w:val="0"/>
          <w:i w:val="0"/>
        </w:rPr>
        <w:br/>
      </w:r>
      <w:r>
        <w:rPr>
          <w:b w:val="0"/>
          <w:i w:val="0"/>
        </w:rPr>
        <w:t>1.950.000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Xe có tải trọng từ 10 tấn đến dưới 18 tấn;</w:t>
      </w:r>
      <w:r>
        <w:rPr>
          <w:b w:val="0"/>
          <w:i w:val="0"/>
        </w:rPr>
        <w:br/>
      </w:r>
      <w:r>
        <w:rPr>
          <w:b w:val="0"/>
          <w:i w:val="0"/>
        </w:rPr>
        <w:t>Xe chở hàng bằng container 20 feet</w:t>
      </w:r>
      <w:r>
        <w:rPr>
          <w:b w:val="0"/>
          <w:i w:val="0"/>
        </w:rPr>
        <w:br/>
      </w:r>
      <w:r>
        <w:rPr>
          <w:b w:val="0"/>
          <w:i w:val="0"/>
        </w:rPr>
        <w:br/>
      </w:r>
      <w:r>
        <w:rPr>
          <w:b w:val="0"/>
          <w:i w:val="0"/>
        </w:rPr>
        <w:t>45.000</w:t>
      </w:r>
      <w:r>
        <w:rPr>
          <w:b w:val="0"/>
          <w:i w:val="0"/>
        </w:rPr>
        <w:br/>
      </w:r>
      <w:r>
        <w:rPr>
          <w:b w:val="0"/>
          <w:i w:val="0"/>
        </w:rPr>
        <w:br/>
      </w:r>
      <w:r>
        <w:rPr>
          <w:b w:val="0"/>
          <w:i w:val="0"/>
        </w:rPr>
        <w:t>1.350.000</w:t>
      </w:r>
      <w:r>
        <w:rPr>
          <w:b w:val="0"/>
          <w:i w:val="0"/>
        </w:rPr>
        <w:br/>
      </w:r>
      <w:r>
        <w:rPr>
          <w:b w:val="0"/>
          <w:i w:val="0"/>
        </w:rPr>
        <w:br/>
      </w:r>
      <w:r>
        <w:rPr>
          <w:b w:val="0"/>
          <w:i w:val="0"/>
        </w:rPr>
        <w:t>3.600.000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Xe tải có trọng tải từ 18 tấn trở lên;</w:t>
      </w:r>
      <w:r>
        <w:rPr>
          <w:b w:val="0"/>
          <w:i w:val="0"/>
        </w:rPr>
        <w:br/>
      </w:r>
      <w:r>
        <w:rPr>
          <w:b w:val="0"/>
          <w:i w:val="0"/>
        </w:rPr>
        <w:t>Xe chở hàng bằng container 40 feet.</w:t>
      </w:r>
      <w:r>
        <w:rPr>
          <w:b w:val="0"/>
          <w:i w:val="0"/>
        </w:rPr>
        <w:br/>
      </w:r>
      <w:r>
        <w:rPr>
          <w:b w:val="0"/>
          <w:i w:val="0"/>
        </w:rPr>
        <w:br/>
      </w:r>
      <w:r>
        <w:rPr>
          <w:b w:val="0"/>
          <w:i w:val="0"/>
        </w:rPr>
        <w:t>90.000</w:t>
      </w:r>
      <w:r>
        <w:rPr>
          <w:b w:val="0"/>
          <w:i w:val="0"/>
        </w:rPr>
        <w:br/>
      </w:r>
      <w:r>
        <w:rPr>
          <w:b w:val="0"/>
          <w:i w:val="0"/>
        </w:rPr>
        <w:br/>
      </w:r>
      <w:r>
        <w:rPr>
          <w:b w:val="0"/>
          <w:i w:val="0"/>
        </w:rPr>
        <w:t>2.700.000</w:t>
      </w:r>
      <w:r>
        <w:rPr>
          <w:b w:val="0"/>
          <w:i w:val="0"/>
        </w:rPr>
        <w:br/>
      </w:r>
      <w:r>
        <w:rPr>
          <w:b w:val="0"/>
          <w:i w:val="0"/>
        </w:rPr>
        <w:br/>
      </w:r>
      <w:r>
        <w:rPr>
          <w:b w:val="0"/>
          <w:i w:val="0"/>
        </w:rPr>
        <w:t>7.300.000</w:t>
      </w:r>
      <w:r>
        <w:rPr>
          <w:b w:val="0"/>
          <w:i w:val="0"/>
        </w:rPr>
        <w:br/>
      </w:r>
      <w:r>
        <w:rPr>
          <w:b w:val="0"/>
          <w:i w:val="0"/>
        </w:rPr>
        <w:br/>
      </w:r>
      <w:r>
        <w:rPr>
          <w:b w:val="0"/>
          <w:i w:val="0"/>
        </w:rPr>
        <w:br/>
      </w:r>
      <w:r>
        <w:rPr>
          <w:b w:val="0"/>
          <w:i w:val="0"/>
        </w:rPr>
        <w:br/>
      </w:r>
      <w:r>
        <w:rPr>
          <w:b/>
          <w:i w:val="0"/>
        </w:rPr>
        <w:t xml:space="preserve"> TRẠM THU PHÍ SỐ 02 (TẠI XÃ THANH BÌNH)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dưới 12 chỗ ngồi;</w:t>
      </w:r>
      <w:r>
        <w:rPr>
          <w:b w:val="0"/>
          <w:i w:val="0"/>
        </w:rPr>
        <w:br/>
      </w:r>
      <w:r>
        <w:rPr>
          <w:b w:val="0"/>
          <w:i w:val="0"/>
        </w:rPr>
        <w:t>Xe tải có trọng tải dưới 2 tấn và các loại xe buýt vận tải khách công cộng.</w:t>
      </w:r>
      <w:r>
        <w:rPr>
          <w:b w:val="0"/>
          <w:i w:val="0"/>
        </w:rPr>
        <w:br/>
      </w:r>
      <w:r>
        <w:rPr>
          <w:b w:val="0"/>
          <w:i w:val="0"/>
        </w:rPr>
        <w:br/>
      </w:r>
      <w:r>
        <w:rPr>
          <w:b w:val="0"/>
          <w:i w:val="0"/>
        </w:rPr>
        <w:t>10.000</w:t>
      </w:r>
      <w:r>
        <w:rPr>
          <w:b w:val="0"/>
          <w:i w:val="0"/>
        </w:rPr>
        <w:br/>
      </w:r>
      <w:r>
        <w:rPr>
          <w:b w:val="0"/>
          <w:i w:val="0"/>
        </w:rPr>
        <w:br/>
      </w:r>
      <w:r>
        <w:rPr>
          <w:b w:val="0"/>
          <w:i w:val="0"/>
        </w:rPr>
        <w:t>300.000</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từ 12 ghế ngồi đến 30 ghế ngồi;</w:t>
      </w:r>
      <w:r>
        <w:rPr>
          <w:b w:val="0"/>
          <w:i w:val="0"/>
        </w:rPr>
        <w:br/>
      </w:r>
      <w:r>
        <w:rPr>
          <w:b w:val="0"/>
          <w:i w:val="0"/>
        </w:rPr>
        <w:t>Xe tải có trọng tải từ 2 tấn đến dưới 4 tấn.</w:t>
      </w:r>
      <w:r>
        <w:rPr>
          <w:b w:val="0"/>
          <w:i w:val="0"/>
        </w:rPr>
        <w:br/>
      </w:r>
      <w:r>
        <w:rPr>
          <w:b w:val="0"/>
          <w:i w:val="0"/>
        </w:rPr>
        <w:br/>
      </w:r>
      <w:r>
        <w:rPr>
          <w:b w:val="0"/>
          <w:i w:val="0"/>
        </w:rPr>
        <w:t>14.000</w:t>
      </w:r>
      <w:r>
        <w:rPr>
          <w:b w:val="0"/>
          <w:i w:val="0"/>
        </w:rPr>
        <w:br/>
      </w:r>
      <w:r>
        <w:rPr>
          <w:b w:val="0"/>
          <w:i w:val="0"/>
        </w:rPr>
        <w:br/>
      </w:r>
      <w:r>
        <w:rPr>
          <w:b w:val="0"/>
          <w:i w:val="0"/>
        </w:rPr>
        <w:t>420.000</w:t>
      </w:r>
      <w:r>
        <w:rPr>
          <w:b w:val="0"/>
          <w:i w:val="0"/>
        </w:rPr>
        <w:br/>
      </w:r>
      <w:r>
        <w:rPr>
          <w:b w:val="0"/>
          <w:i w:val="0"/>
        </w:rPr>
        <w:br/>
      </w:r>
      <w:r>
        <w:rPr>
          <w:b w:val="0"/>
          <w:i w:val="0"/>
        </w:rPr>
        <w:t>1.120.000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từ 31 ghế ngồi chở lên;</w:t>
      </w:r>
      <w:r>
        <w:rPr>
          <w:b w:val="0"/>
          <w:i w:val="0"/>
        </w:rPr>
        <w:br/>
      </w:r>
      <w:r>
        <w:rPr>
          <w:b w:val="0"/>
          <w:i w:val="0"/>
        </w:rPr>
        <w:t xml:space="preserve">Xe tải có trọng tải từ 4 tấn đến dưới 10 tấn. </w:t>
      </w:r>
      <w:r>
        <w:rPr>
          <w:b w:val="0"/>
          <w:i w:val="0"/>
        </w:rPr>
        <w:br/>
      </w:r>
      <w:r>
        <w:rPr>
          <w:b w:val="0"/>
          <w:i w:val="0"/>
        </w:rPr>
        <w:br/>
      </w:r>
      <w:r>
        <w:rPr>
          <w:b w:val="0"/>
          <w:i w:val="0"/>
        </w:rPr>
        <w:t>20.000</w:t>
      </w:r>
      <w:r>
        <w:rPr>
          <w:b w:val="0"/>
          <w:i w:val="0"/>
        </w:rPr>
        <w:br/>
      </w:r>
      <w:r>
        <w:rPr>
          <w:b w:val="0"/>
          <w:i w:val="0"/>
        </w:rPr>
        <w:br/>
      </w:r>
      <w:r>
        <w:rPr>
          <w:b w:val="0"/>
          <w:i w:val="0"/>
        </w:rPr>
        <w:t>600.000</w:t>
      </w:r>
      <w:r>
        <w:rPr>
          <w:b w:val="0"/>
          <w:i w:val="0"/>
        </w:rPr>
        <w:br/>
      </w:r>
      <w:r>
        <w:rPr>
          <w:b w:val="0"/>
          <w:i w:val="0"/>
        </w:rPr>
        <w:br/>
      </w:r>
      <w:r>
        <w:rPr>
          <w:b w:val="0"/>
          <w:i w:val="0"/>
        </w:rPr>
        <w:t>1.650.000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Xe có tải trọng từ 10 tấn đến dưới 18 tấn;</w:t>
      </w:r>
      <w:r>
        <w:rPr>
          <w:b w:val="0"/>
          <w:i w:val="0"/>
        </w:rPr>
        <w:br/>
      </w:r>
      <w:r>
        <w:rPr>
          <w:b w:val="0"/>
          <w:i w:val="0"/>
        </w:rPr>
        <w:t>Xe chở hàng bằng container 20 feet</w:t>
      </w:r>
      <w:r>
        <w:rPr>
          <w:b w:val="0"/>
          <w:i w:val="0"/>
        </w:rPr>
        <w:br/>
      </w:r>
      <w:r>
        <w:rPr>
          <w:b w:val="0"/>
          <w:i w:val="0"/>
        </w:rPr>
        <w:br/>
      </w:r>
      <w:r>
        <w:rPr>
          <w:b w:val="0"/>
          <w:i w:val="0"/>
        </w:rPr>
        <w:t>35.000</w:t>
      </w:r>
      <w:r>
        <w:rPr>
          <w:b w:val="0"/>
          <w:i w:val="0"/>
        </w:rPr>
        <w:br/>
      </w:r>
      <w:r>
        <w:rPr>
          <w:b w:val="0"/>
          <w:i w:val="0"/>
        </w:rPr>
        <w:br/>
      </w:r>
      <w:r>
        <w:rPr>
          <w:b w:val="0"/>
          <w:i w:val="0"/>
        </w:rPr>
        <w:t>1.050.000</w:t>
      </w:r>
      <w:r>
        <w:rPr>
          <w:b w:val="0"/>
          <w:i w:val="0"/>
        </w:rPr>
        <w:br/>
      </w:r>
      <w:r>
        <w:rPr>
          <w:b w:val="0"/>
          <w:i w:val="0"/>
        </w:rPr>
        <w:br/>
      </w:r>
      <w:r>
        <w:rPr>
          <w:b w:val="0"/>
          <w:i w:val="0"/>
        </w:rPr>
        <w:t>2.800.000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Xe tải có trọng tải từ 18 tấn trở lên;</w:t>
      </w:r>
      <w:r>
        <w:rPr>
          <w:b w:val="0"/>
          <w:i w:val="0"/>
        </w:rPr>
        <w:br/>
      </w:r>
      <w:r>
        <w:rPr>
          <w:b w:val="0"/>
          <w:i w:val="0"/>
        </w:rPr>
        <w:t>Xe chở hàng bằng container 40 feet.</w:t>
      </w:r>
      <w:r>
        <w:rPr>
          <w:b w:val="0"/>
          <w:i w:val="0"/>
        </w:rPr>
        <w:br/>
      </w:r>
      <w:r>
        <w:rPr>
          <w:b w:val="0"/>
          <w:i w:val="0"/>
        </w:rPr>
        <w:br/>
      </w:r>
      <w:r>
        <w:rPr>
          <w:b w:val="0"/>
          <w:i w:val="0"/>
        </w:rPr>
        <w:t>70.000</w:t>
      </w:r>
      <w:r>
        <w:rPr>
          <w:b w:val="0"/>
          <w:i w:val="0"/>
        </w:rPr>
        <w:br/>
      </w:r>
      <w:r>
        <w:rPr>
          <w:b w:val="0"/>
          <w:i w:val="0"/>
        </w:rPr>
        <w:br/>
      </w:r>
      <w:r>
        <w:rPr>
          <w:b w:val="0"/>
          <w:i w:val="0"/>
        </w:rPr>
        <w:t>2.100.000</w:t>
      </w:r>
      <w:r>
        <w:rPr>
          <w:b w:val="0"/>
          <w:i w:val="0"/>
        </w:rPr>
        <w:br/>
      </w:r>
      <w:r>
        <w:rPr>
          <w:b w:val="0"/>
          <w:i w:val="0"/>
        </w:rPr>
        <w:br/>
      </w:r>
      <w:r>
        <w:rPr>
          <w:b w:val="0"/>
          <w:i w:val="0"/>
        </w:rPr>
        <w:t>5.700.000</w:t>
      </w:r>
      <w:r>
        <w:rPr>
          <w:b w:val="0"/>
          <w:i w:val="0"/>
        </w:rPr>
        <w:br/>
      </w:r>
      <w:r>
        <w:rPr>
          <w:b w:val="0"/>
          <w:i w:val="0"/>
        </w:rPr>
        <w:br/>
      </w:r>
      <w:r>
        <w:rPr>
          <w:b w:val="0"/>
          <w:i w:val="0"/>
        </w:rPr>
        <w:br/>
      </w:r>
      <w:r>
        <w:rPr>
          <w:b w:val="0"/>
          <w:i w:val="0"/>
        </w:rPr>
        <w:br/>
      </w:r>
      <w:r>
        <w:rPr>
          <w:b w:val="0"/>
          <w:i w:val="0"/>
        </w:rPr>
        <w:t>2. Xe Bông sen, xe công nông, xe máy kéo, xe lam, xe mô tô hai bánh, ba bánh, xe gắn máy và các loại xe tương tự: không thu.</w:t>
      </w:r>
      <w:r>
        <w:rPr>
          <w:b w:val="0"/>
          <w:i w:val="0"/>
        </w:rPr>
        <w:br/>
      </w:r>
      <w:r>
        <w:rPr>
          <w:b w:val="0"/>
          <w:i w:val="0"/>
        </w:rPr>
        <w:t>3. Xe ưu tiên: thực hiện theo quy định tại Thông tư số 90/2004/TT-BTC ngày 07/9/2004 của Bộ Tài chính.</w:t>
      </w:r>
      <w:r>
        <w:rPr>
          <w:b w:val="0"/>
          <w:i w:val="0"/>
        </w:rPr>
        <w:br/>
      </w:r>
      <w:r>
        <w:rPr>
          <w:b/>
          <w:i w:val="0"/>
        </w:rPr>
        <w:t xml:space="preserve">Điều 2. </w:t>
      </w:r>
      <w:r>
        <w:rPr>
          <w:b w:val="0"/>
          <w:i w:val="0"/>
        </w:rPr>
        <w:t>Mức thu phí quy định tại Điều 1 Quyết định này áp dụng thực hiện trong 05 năm (2012-2017). Sau thời gian trên hoặc khi có quy định mới về mức thu phí sử dụng đường bộ của Trung ương, căn cứ vào tình hình thực tế, Ủy ban nhân dân tỉnh sẽ báo cáo Hội đồng nhân dân tỉnh xem xét và điều chỉnh.</w:t>
      </w:r>
      <w:r>
        <w:rPr>
          <w:b w:val="0"/>
          <w:i w:val="0"/>
        </w:rPr>
        <w:br/>
      </w:r>
      <w:r>
        <w:rPr>
          <w:b/>
          <w:i w:val="0"/>
        </w:rPr>
        <w:t>Điều 3.</w:t>
      </w:r>
      <w:r>
        <w:rPr>
          <w:b/>
          <w:i w:val="0"/>
        </w:rPr>
        <w:t xml:space="preserve"> </w:t>
      </w:r>
      <w:r>
        <w:rPr>
          <w:b w:val="0"/>
          <w:i w:val="0"/>
        </w:rPr>
        <w:t>Quyết định này có hiệu lực sau 10 ngày, kể từ ngày ký và thay thế Quyết định số 49/2007/QĐ-UBND ngày 27/9/2007 của UBND tỉnh.</w:t>
      </w:r>
      <w:r>
        <w:rPr>
          <w:b w:val="0"/>
          <w:i w:val="0"/>
        </w:rPr>
        <w:br/>
      </w:r>
      <w:r>
        <w:rPr>
          <w:b/>
          <w:i w:val="0"/>
        </w:rPr>
        <w:t>Điều 4.</w:t>
      </w:r>
      <w:r>
        <w:rPr>
          <w:b/>
          <w:i w:val="0"/>
        </w:rPr>
        <w:t xml:space="preserve"> </w:t>
      </w:r>
      <w:r>
        <w:rPr>
          <w:b w:val="0"/>
          <w:i w:val="0"/>
        </w:rPr>
        <w:t>Các ông (bà) Chánh Văn phòng UBND tỉnh, Thủ trưởng các Sở ngành: Giao thông vận tải, Tài chính, Kho bạc Nhà nước tỉnh, Cục Thuế; Chủ tịch UBND thị xã Bình Long, UBND huyện Chơn Thành, UBND huyện Hớn Quản; Tổng Giám đốc Công ty Cổ phần Đầu tư xây dựng CSHT Bình Phước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br/>
      </w:r>
      <w:r>
        <w:rPr>
          <w:b/>
          <w:i w:val="0"/>
        </w:rPr>
        <w:t>CHỦ TỊCH</w:t>
      </w:r>
      <w:r>
        <w:rPr>
          <w:b w:val="0"/>
          <w:i w:val="0"/>
        </w:rPr>
        <w:br/>
      </w:r>
      <w:r>
        <w:rPr>
          <w:b/>
          <w:i/>
        </w:rPr>
        <w:t>(Đã ký)</w:t>
      </w:r>
      <w:r>
        <w:rPr>
          <w:b w:val="0"/>
          <w:i w:val="0"/>
        </w:rPr>
        <w:br/>
      </w:r>
      <w:r>
        <w:rPr>
          <w:b/>
          <w:i/>
        </w:rPr>
        <w:t xml:space="preserve"> </w:t>
      </w:r>
      <w:r>
        <w:rPr>
          <w:b w:val="0"/>
          <w:i w:val="0"/>
        </w:rPr>
        <w:br/>
      </w:r>
      <w:r>
        <w:rPr>
          <w:b/>
          <w:i w:val="0"/>
        </w:rPr>
        <w:t>Trương Tấn Thiệu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BÌNH PHƯỚC</w:t>
            </w:r>
          </w:p>
        </w:tc>
        <w:tc>
          <w:tcPr>
            <w:tcW w:type="dxa" w:w="4320"/>
          </w:tcPr>
          <w:p>
            <w:r>
              <w:rPr>
                <w:b w:val="0"/>
                <w:i w:val="0"/>
              </w:rPr>
              <w:br/>
            </w:r>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PHƯƠNG TIỆN</w:t>
            </w:r>
          </w:p>
        </w:tc>
        <w:tc>
          <w:tcPr>
            <w:tcW w:type="dxa" w:w="1728"/>
          </w:tcPr>
          <w:p>
            <w:r>
              <w:rPr>
                <w:b w:val="0"/>
                <w:i w:val="0"/>
              </w:rPr>
              <w:br/>
            </w:r>
            <w:r>
              <w:rPr>
                <w:b/>
                <w:i w:val="0"/>
              </w:rPr>
              <w:t>Vé lượt (đ/vé/lượt)</w:t>
            </w:r>
          </w:p>
        </w:tc>
        <w:tc>
          <w:tcPr>
            <w:tcW w:type="dxa" w:w="1728"/>
          </w:tcPr>
          <w:p>
            <w:r>
              <w:rPr>
                <w:b w:val="0"/>
                <w:i w:val="0"/>
              </w:rPr>
              <w:br/>
            </w:r>
            <w:r>
              <w:rPr>
                <w:b/>
                <w:i w:val="0"/>
              </w:rPr>
              <w:t>Vé tháng (đ/vé/tháng)</w:t>
            </w:r>
          </w:p>
        </w:tc>
        <w:tc>
          <w:tcPr>
            <w:tcW w:type="dxa" w:w="1728"/>
          </w:tcPr>
          <w:p>
            <w:r>
              <w:rPr>
                <w:b w:val="0"/>
                <w:i w:val="0"/>
              </w:rPr>
              <w:br/>
            </w:r>
            <w:r>
              <w:rPr>
                <w:b/>
                <w:i w:val="0"/>
              </w:rPr>
              <w:t>Vé quý (đ/vé/quý)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br/>
            </w:r>
            <w:r>
              <w:rPr>
                <w:b/>
                <w:i w:val="0"/>
              </w:rPr>
              <w:t>CHỦ TỊCH</w:t>
            </w:r>
            <w:r>
              <w:rPr>
                <w:b w:val="0"/>
                <w:i w:val="0"/>
              </w:rPr>
              <w:br/>
            </w:r>
            <w:r>
              <w:rPr>
                <w:b/>
                <w:i/>
              </w:rPr>
              <w:t>(Đã ký)</w:t>
            </w:r>
            <w:r>
              <w:rPr>
                <w:b w:val="0"/>
                <w:i w:val="0"/>
              </w:rPr>
              <w:br/>
            </w:r>
            <w:r>
              <w:rPr>
                <w:b/>
                <w:i/>
              </w:rPr>
              <w:t xml:space="preserve"> </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