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32/2024/QĐ-UBND Phê duyệt mức chi hỗ trợ công tác phòng, chống số đề và làm vé số giả của</w:t>
        <w:br/>
        <w:t>Công ty Trách nhiệm hữu hạn một thành viên xổ số kiến thiết Nam Định</w:t>
      </w:r>
    </w:p>
    <w:p>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NAM ĐỊNH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32/2024/QĐ-UBND</w:t>
      </w:r>
      <w:r>
        <w:rPr>
          <w:b w:val="0"/>
          <w:i w:val="0"/>
        </w:rPr>
        <w:br/>
      </w:r>
      <w:r>
        <w:rPr>
          <w:b w:val="0"/>
          <w:i w:val="0"/>
        </w:rPr>
        <w:br/>
      </w:r>
      <w:r>
        <w:rPr>
          <w:b w:val="0"/>
          <w:i/>
        </w:rPr>
        <w:t>Nam Định, ngày 20 tháng 8 năm 2024</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NAM ĐỊNH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32/2024/QĐ-UBND</w:t>
      </w:r>
      <w:r>
        <w:rPr>
          <w:b w:val="0"/>
          <w:i w:val="0"/>
        </w:rPr>
        <w:br/>
      </w:r>
      <w:r>
        <w:rPr>
          <w:b w:val="0"/>
          <w:i w:val="0"/>
        </w:rPr>
        <w:br/>
      </w:r>
      <w:r>
        <w:rPr>
          <w:b w:val="0"/>
          <w:i/>
        </w:rPr>
        <w:t>Nam Định, ngày 20 tháng 8 năm 2024</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NAM ĐỊNH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r>
        <w:br/>
      </w:r>
      <w:r>
        <w:rPr>
          <w:b/>
          <w:i w:val="0"/>
        </w:rPr>
        <w:br/>
        <w:t xml:space="preserve">     Phê duyệt mức chi hỗ trợ công tác phòng, chống số đề và làm vé số giả của </w:t>
      </w:r>
    </w:p>
    <w:p>
      <w:pPr>
        <w:jc w:val="center"/>
      </w:pPr>
      <w:r>
        <w:rPr>
          <w:b/>
          <w:i w:val="0"/>
        </w:rPr>
        <w:t>Công ty Trách nhiệm hữu hạn một thành viên xổ số kiến thiết Nam Định</w:t>
      </w:r>
    </w:p>
    <w:p>
      <w:pPr>
        <w:jc w:val="center"/>
      </w:pPr>
      <w:r>
        <w:rPr>
          <w:b/>
          <w:i w:val="0"/>
        </w:rPr>
        <w:t>---------------</w:t>
      </w:r>
    </w:p>
    <w:p>
      <w:pPr>
        <w:jc w:val="center"/>
      </w:pPr>
      <w:r>
        <w:rPr>
          <w:b/>
          <w:i w:val="0"/>
        </w:rPr>
        <w:t>ỦY BAN NHÂN DÂN TỈNH NAM ĐỊNH</w:t>
      </w:r>
    </w:p>
    <w:p>
      <w:pPr>
        <w:jc w:val="both"/>
      </w:pPr>
      <w:r>
        <w:rPr>
          <w:b w:val="0"/>
          <w:i/>
        </w:rPr>
        <w:t>Căn cứ Luật Tổ chức chính quyền địa phương ngày 19/6/2015; Luật sửa đổi, bổ sung một số điều của Luật Tổ chức Chính phủ và Luật Tổ chức chính quyền địa phương ngày 22/11/2019;</w:t>
      </w:r>
    </w:p>
    <w:p>
      <w:pPr>
        <w:jc w:val="both"/>
      </w:pPr>
      <w:r>
        <w:rPr>
          <w:b w:val="0"/>
          <w:i/>
        </w:rPr>
        <w:t>Căn cứ Luật Ban hành văn bản quy phạm pháp luật ngày 22/6/2015; Luật sửa đổi, bổ sung một số điều của Luật Ban hành văn bản quy phạm pháp luật ngày 18/6/2020;</w:t>
      </w:r>
    </w:p>
    <w:p>
      <w:pPr>
        <w:jc w:val="both"/>
      </w:pPr>
      <w:r>
        <w:rPr>
          <w:b w:val="0"/>
          <w:i/>
        </w:rPr>
        <w:t>Căn cứ Nghị định số</w:t>
      </w:r>
      <w:r>
        <w:rPr>
          <w:b w:val="0"/>
          <w:i/>
        </w:rPr>
        <w:t xml:space="preserve"> </w:t>
      </w:r>
      <w:r>
        <w:rPr>
          <w:b w:val="0"/>
          <w:i/>
        </w:rPr>
        <w:t>30/2007/NĐ-CP</w:t>
      </w:r>
      <w:r>
        <w:rPr>
          <w:b w:val="0"/>
          <w:i/>
        </w:rPr>
        <w:t xml:space="preserve"> </w:t>
      </w:r>
      <w:r>
        <w:rPr>
          <w:b w:val="0"/>
          <w:i/>
        </w:rPr>
        <w:t>ngày 01/3/2007 của Chính phủ về kinh doanh xổ số; Nghị định số</w:t>
      </w:r>
      <w:r>
        <w:rPr>
          <w:b w:val="0"/>
          <w:i/>
        </w:rPr>
        <w:t xml:space="preserve"> </w:t>
      </w:r>
      <w:r>
        <w:rPr>
          <w:b w:val="0"/>
          <w:i/>
        </w:rPr>
        <w:t>78/2012/NĐ-CP</w:t>
      </w:r>
      <w:r>
        <w:rPr>
          <w:b w:val="0"/>
          <w:i/>
        </w:rPr>
        <w:t xml:space="preserve"> </w:t>
      </w:r>
      <w:r>
        <w:rPr>
          <w:b w:val="0"/>
          <w:i/>
        </w:rPr>
        <w:t>ngày 05/10/2012 của Chính phủ sửa đổi, bổ sung một số điều của Nghị định số</w:t>
      </w:r>
      <w:r>
        <w:rPr>
          <w:b w:val="0"/>
          <w:i/>
        </w:rPr>
        <w:t xml:space="preserve"> </w:t>
      </w:r>
      <w:r>
        <w:rPr>
          <w:b w:val="0"/>
          <w:i/>
        </w:rPr>
        <w:t>30/2007/NĐ-CP</w:t>
      </w:r>
      <w:r>
        <w:rPr>
          <w:b w:val="0"/>
          <w:i/>
        </w:rPr>
        <w:t xml:space="preserve"> </w:t>
      </w:r>
      <w:r>
        <w:rPr>
          <w:b w:val="0"/>
          <w:i/>
        </w:rPr>
        <w:t>ngày 01/3/2007 của Chính phủ về kinh doanh xổ số;</w:t>
      </w:r>
    </w:p>
    <w:p>
      <w:pPr>
        <w:jc w:val="both"/>
      </w:pPr>
      <w:r>
        <w:rPr>
          <w:b w:val="0"/>
          <w:i/>
        </w:rPr>
        <w:t>Căn cứ Nghị định số</w:t>
      </w:r>
      <w:r>
        <w:rPr>
          <w:b w:val="0"/>
          <w:i/>
        </w:rPr>
        <w:t xml:space="preserve"> </w:t>
      </w:r>
      <w:r>
        <w:rPr>
          <w:b w:val="0"/>
          <w:i/>
        </w:rPr>
        <w:t>122/2017/NĐ-CP</w:t>
      </w:r>
      <w:r>
        <w:rPr>
          <w:b w:val="0"/>
          <w:i/>
        </w:rPr>
        <w:t xml:space="preserve"> </w:t>
      </w:r>
      <w:r>
        <w:rPr>
          <w:b w:val="0"/>
          <w:i/>
        </w:rPr>
        <w:t>ngày 13/11/2017 của Chính phủ về việc quy định một số nội dung đặc thù về cơ chế quản lý tài chính và đánh giá hiệu quả hoạt động đối với doanh nghiệp kinh doanh xổ số; Sở Giao dịch chứng khoán và Trung tâm lưu ký chứng khoán Việt Nam;</w:t>
      </w:r>
    </w:p>
    <w:p>
      <w:pPr>
        <w:jc w:val="both"/>
      </w:pPr>
      <w:r>
        <w:rPr>
          <w:b w:val="0"/>
          <w:i/>
        </w:rPr>
        <w:t>Căn cứ Thông tư số</w:t>
      </w:r>
      <w:r>
        <w:rPr>
          <w:b w:val="0"/>
          <w:i/>
        </w:rPr>
        <w:t xml:space="preserve"> </w:t>
      </w:r>
      <w:r>
        <w:rPr>
          <w:b w:val="0"/>
          <w:i/>
        </w:rPr>
        <w:t>138/2017/TT-BTC</w:t>
      </w:r>
      <w:r>
        <w:rPr>
          <w:b w:val="0"/>
          <w:i/>
        </w:rPr>
        <w:t xml:space="preserve"> </w:t>
      </w:r>
      <w:r>
        <w:rPr>
          <w:b w:val="0"/>
          <w:i/>
        </w:rPr>
        <w:t>ngày 25/12/2017 của Bộ Tài chính</w:t>
      </w:r>
      <w:r>
        <w:rPr>
          <w:b w:val="0"/>
          <w:i w:val="0"/>
        </w:rPr>
        <w:t xml:space="preserve"> </w:t>
      </w:r>
      <w:r>
        <w:rPr>
          <w:b w:val="0"/>
          <w:i/>
        </w:rPr>
        <w:t>hướng dẫn một số khoản chi phí đặc thù đối với doanh nghiệp kinh doanh xổ số quy định tại Nghị định số</w:t>
      </w:r>
      <w:r>
        <w:rPr>
          <w:b w:val="0"/>
          <w:i/>
        </w:rPr>
        <w:t xml:space="preserve"> </w:t>
      </w:r>
      <w:r>
        <w:rPr>
          <w:b w:val="0"/>
          <w:i/>
        </w:rPr>
        <w:t>122/2017/NĐ-CP</w:t>
      </w:r>
      <w:r>
        <w:rPr>
          <w:b w:val="0"/>
          <w:i/>
        </w:rPr>
        <w:t xml:space="preserve"> </w:t>
      </w:r>
      <w:r>
        <w:rPr>
          <w:b w:val="0"/>
          <w:i/>
        </w:rPr>
        <w:t>ngày 13/11/2017 của Chính phủ quy định một số nội dung đặc thù về cơ chế quản lý tài chính và đánh giá hiệu quả hoạt động đối với doanh nghiệp kinh doanh xổ số; Sở Giao dịch Chứng khoán và Trung tâm Lưu ký Chứng khoán Việt Nam;</w:t>
      </w:r>
    </w:p>
    <w:p>
      <w:pPr>
        <w:jc w:val="both"/>
      </w:pPr>
      <w:r>
        <w:rPr>
          <w:b w:val="0"/>
          <w:i/>
        </w:rPr>
        <w:t>Theo đề nghị của Sở Tài chính tại Tờ trình số: 276/TTr-STC ngày</w:t>
      </w:r>
      <w:r>
        <w:rPr>
          <w:b w:val="0"/>
          <w:i w:val="0"/>
        </w:rPr>
        <w:t xml:space="preserve"> </w:t>
      </w:r>
      <w:r>
        <w:rPr>
          <w:b w:val="0"/>
          <w:i/>
        </w:rPr>
        <w:t>26/7/2024 về việc phê duyệt mức hỗ trợ công tác phòng, chống số đề và làm vé số</w:t>
      </w:r>
      <w:r>
        <w:rPr>
          <w:b w:val="0"/>
          <w:i w:val="0"/>
        </w:rPr>
        <w:t xml:space="preserve"> </w:t>
      </w:r>
      <w:r>
        <w:rPr>
          <w:b w:val="0"/>
          <w:i/>
        </w:rPr>
        <w:t>giả của Công ty Trách nhiệm hữu hạn một thành viên xổ số kiến thiết Nam Định, Sở Tư pháp tại Báo cáo thẩm định số: 1237/BC-STP ngày 26/7/2024.</w:t>
      </w:r>
    </w:p>
    <w:p>
      <w:pPr>
        <w:jc w:val="center"/>
      </w:pPr>
      <w:r>
        <w:rPr>
          <w:b/>
          <w:i w:val="0"/>
        </w:rPr>
        <w:t>QUYẾT ĐỊNH:</w:t>
      </w:r>
    </w:p>
    <w:p>
      <w:pPr>
        <w:jc w:val="both"/>
      </w:pPr>
      <w:r>
        <w:rPr>
          <w:b/>
          <w:i w:val="0"/>
        </w:rPr>
        <w:t xml:space="preserve">Điều 1. </w:t>
      </w:r>
      <w:r>
        <w:rPr>
          <w:b w:val="0"/>
          <w:i w:val="0"/>
        </w:rPr>
        <w:t>Phê duyệt mức chi hỗ trợ công tác phòng, chống số đề và làm vé số giả của Công ty Trách nhiệm hữu hạn một thành viên Xổ số kiến thiết Nam Định, như sau:</w:t>
      </w:r>
    </w:p>
    <w:p>
      <w:pPr>
        <w:jc w:val="both"/>
      </w:pPr>
      <w:r>
        <w:rPr>
          <w:b w:val="0"/>
          <w:i w:val="0"/>
        </w:rPr>
        <w:t>1. Đối với các vụ án đã có bản án của Tòa án nhân dân</w:t>
      </w:r>
    </w:p>
    <w:p>
      <w:pPr>
        <w:jc w:val="both"/>
      </w:pPr>
      <w:r>
        <w:rPr>
          <w:b w:val="0"/>
          <w:i w:val="0"/>
        </w:rPr>
        <w:t>a) Vụ án có tổng giá trị xét xử dưới 50 triệu đồng: Mức chi hỗ trợ là 5 triệu đồng/vụ án;</w:t>
      </w:r>
    </w:p>
    <w:p>
      <w:pPr>
        <w:jc w:val="both"/>
      </w:pPr>
      <w:r>
        <w:rPr>
          <w:b w:val="0"/>
          <w:i w:val="0"/>
        </w:rPr>
        <w:t>b) Vụ án có tổng giá trị xét xử từ 50 triệu đồng đến dưới 100 triệu đồng: Mức chi hỗ trợ là 10 triệu đồng/vụ án;</w:t>
      </w:r>
    </w:p>
    <w:p>
      <w:pPr>
        <w:jc w:val="both"/>
      </w:pPr>
      <w:r>
        <w:rPr>
          <w:b w:val="0"/>
          <w:i w:val="0"/>
        </w:rPr>
        <w:t>c) Vụ án có tổng giá trị xét xử từ 100 triệu đồng trở lên: Mức chi hỗ trợ là 15 triệu đồng/vụ án.</w:t>
      </w:r>
    </w:p>
    <w:p>
      <w:pPr>
        <w:jc w:val="both"/>
      </w:pPr>
      <w:r>
        <w:rPr>
          <w:b w:val="0"/>
          <w:i w:val="0"/>
        </w:rPr>
        <w:t>2. Đối với các vụ việc đã có quyết định xử phạt vi phạm hành chính và biên lai nộp tiền phạt của người vi phạm: mức chi hỗ trợ bằng 35% số tiền xử phạt vi phạm hành chính nhưng không vượt quá 15 triệu đồng/vụ.</w:t>
      </w:r>
    </w:p>
    <w:p>
      <w:pPr>
        <w:jc w:val="both"/>
      </w:pPr>
      <w:r>
        <w:rPr>
          <w:b w:val="0"/>
          <w:i w:val="0"/>
        </w:rPr>
        <w:t>3. Tổng mức chi cho công tác phòng, chống số đề, làm vé số giả trong năm tài chính thực hiện không vượt quá 1% doanh thu từ hoạt động kinh doanh các loại hình xổ số được phép kinh doanh bao gồm cả thuế giá trị gia tăng và thuế tiêu thụ đặc biệt của công ty.</w:t>
      </w:r>
    </w:p>
    <w:p>
      <w:pPr>
        <w:jc w:val="both"/>
      </w:pPr>
      <w:r>
        <w:rPr>
          <w:b/>
          <w:i w:val="0"/>
        </w:rPr>
        <w:t xml:space="preserve">Điều 2. </w:t>
      </w:r>
      <w:r>
        <w:rPr>
          <w:b w:val="0"/>
          <w:i w:val="0"/>
        </w:rPr>
        <w:t>Quyết định này có hiệu lực thi hành kể từ ngày 01/9/2024 và thay thế Quyết định số 09/2014/QĐ-UBND ngày 02/04/2014 của Ủy ban nhân dân tỉnh về việc quy định nội dung và mức chi hỗ trợ công tác phòng chống số đề, làm vé số giả cho Công ty Trách nhiệm hữu hạn một thành viên xổ số kiến thiết Nam Định.</w:t>
      </w:r>
    </w:p>
    <w:p>
      <w:pPr>
        <w:jc w:val="both"/>
      </w:pPr>
      <w:r>
        <w:rPr>
          <w:b/>
          <w:i w:val="0"/>
        </w:rPr>
        <w:t xml:space="preserve">Điều 3. </w:t>
      </w:r>
      <w:r>
        <w:rPr>
          <w:b w:val="0"/>
          <w:i w:val="0"/>
        </w:rPr>
        <w:t>Chánh Văn phòng Ủy ban nhân dân tỉnh; Thủ trưởng các cơ quan: Sở Tài chính, Công an tỉnh, Công ty Trách nhiệm hữu hạn một thành viên xổ số kiến thiết Nam Định và các đơn vị liên quan chịu trách nhiệm thi hành Quyết định này./.</w:t>
      </w:r>
    </w:p>
    <w:p>
      <w:r>
        <w:rPr>
          <w:b w:val="0"/>
          <w:i w:val="0"/>
        </w:rPr>
        <w:br/>
      </w:r>
      <w:r>
        <w:rPr>
          <w:b w:val="0"/>
          <w:i w:val="0"/>
        </w:rPr>
        <w:br/>
      </w:r>
      <w:r>
        <w:rPr>
          <w:b w:val="0"/>
          <w:i w:val="0"/>
        </w:rPr>
        <w:br/>
      </w:r>
      <w:r>
        <w:rPr>
          <w:b w:val="0"/>
          <w:i w:val="0"/>
        </w:rPr>
        <w:br/>
      </w:r>
      <w:r>
        <w:rPr>
          <w:b w:val="0"/>
          <w:i w:val="0"/>
        </w:rPr>
        <w:br/>
      </w:r>
      <w:r>
        <w:rPr>
          <w:b w:val="0"/>
          <w:i w:val="0"/>
        </w:rPr>
        <w:br/>
      </w:r>
      <w:r>
        <w:br/>
      </w:r>
      <w:r>
        <w:rPr>
          <w:b/>
          <w:i/>
        </w:rPr>
        <w:br/>
        <w:t xml:space="preserve">            Nơi nhận:</w:t>
      </w:r>
      <w:r>
        <w:br/>
      </w:r>
      <w:r>
        <w:rPr>
          <w:b w:val="0"/>
          <w:i w:val="0"/>
        </w:rPr>
        <w:t>- Như Điều 3;</w:t>
      </w:r>
      <w:r>
        <w:br/>
      </w:r>
      <w:r>
        <w:rPr>
          <w:b w:val="0"/>
          <w:i w:val="0"/>
        </w:rPr>
        <w:br/>
        <w:t xml:space="preserve">           - Văn phòng Chính phủ;</w:t>
      </w:r>
      <w:r>
        <w:br/>
      </w:r>
      <w:r>
        <w:rPr>
          <w:b w:val="0"/>
          <w:i w:val="0"/>
        </w:rPr>
        <w:br/>
        <w:t xml:space="preserve">           - Vụ Pháp chế thuộc Bộ Tài chính;</w:t>
      </w:r>
      <w:r>
        <w:br/>
      </w:r>
      <w:r>
        <w:rPr>
          <w:b w:val="0"/>
          <w:i w:val="0"/>
        </w:rPr>
        <w:br/>
        <w:t xml:space="preserve">           - Cục kiểm tra văn bản QPPL (Bộ Tư pháp);</w:t>
      </w:r>
      <w:r>
        <w:br/>
      </w:r>
      <w:r>
        <w:rPr>
          <w:b w:val="0"/>
          <w:i w:val="0"/>
        </w:rPr>
        <w:br/>
        <w:t xml:space="preserve">           - TT. Tỉnh ủy, TT. HĐND tỉnh;</w:t>
      </w:r>
      <w:r>
        <w:br/>
      </w:r>
      <w:r>
        <w:rPr>
          <w:b w:val="0"/>
          <w:i w:val="0"/>
        </w:rPr>
        <w:br/>
        <w:t xml:space="preserve">           - Lãnh đạo UBND tỉnh;</w:t>
      </w:r>
      <w:r>
        <w:br/>
      </w:r>
      <w:r>
        <w:rPr>
          <w:b w:val="0"/>
          <w:i w:val="0"/>
        </w:rPr>
        <w:br/>
        <w:t xml:space="preserve">           - Ủy ban MTTQ tỉnh;</w:t>
      </w:r>
      <w:r>
        <w:br/>
      </w:r>
      <w:r>
        <w:rPr>
          <w:b w:val="0"/>
          <w:i w:val="0"/>
        </w:rPr>
        <w:br/>
        <w:t xml:space="preserve">           - Đoàn đại biểu quốc hội tỉnh;</w:t>
      </w:r>
      <w:r>
        <w:br/>
      </w:r>
      <w:r>
        <w:rPr>
          <w:b w:val="0"/>
          <w:i w:val="0"/>
        </w:rPr>
        <w:br/>
        <w:t xml:space="preserve">           - Cổng TTĐT tỉnh, Công báo tỉnh;</w:t>
      </w:r>
      <w:r>
        <w:br/>
      </w:r>
      <w:r>
        <w:rPr>
          <w:b w:val="0"/>
          <w:i w:val="0"/>
        </w:rPr>
        <w:br/>
        <w:t xml:space="preserve">           - Lưu VP1, VP6.</w:t>
      </w:r>
      <w:r>
        <w:rPr>
          <w:b w:val="0"/>
          <w:i w:val="0"/>
        </w:rPr>
        <w:br/>
      </w:r>
      <w:r>
        <w:rPr>
          <w:b w:val="0"/>
          <w:i w:val="0"/>
        </w:rPr>
        <w:br/>
      </w:r>
      <w:r>
        <w:rPr>
          <w:b/>
          <w:i w:val="0"/>
        </w:rPr>
        <w:t>TM. ỦY BAN NHÂN DÂN</w:t>
      </w:r>
      <w:r>
        <w:br/>
      </w:r>
      <w:r>
        <w:rPr>
          <w:b/>
          <w:i w:val="0"/>
        </w:rPr>
        <w:t>KT. CHỦ TỊCH</w:t>
      </w:r>
      <w:r>
        <w:br/>
      </w:r>
      <w:r>
        <w:rPr>
          <w:b/>
          <w:i w:val="0"/>
        </w:rPr>
        <w:br/>
        <w:t xml:space="preserve">           PHÓ CHỦ TỊCH</w:t>
      </w:r>
      <w:r>
        <w:br/>
      </w:r>
      <w:r>
        <w:rPr>
          <w:b w:val="0"/>
          <w:i/>
        </w:rPr>
        <w:t>(Đã ký)</w:t>
      </w:r>
      <w:r>
        <w:br/>
      </w:r>
      <w:r>
        <w:br/>
      </w:r>
      <w:r>
        <w:br/>
      </w:r>
      <w:r>
        <w:rPr>
          <w:b/>
          <w:i w:val="0"/>
        </w:rPr>
        <w:t>Hà Lan Anh</w:t>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br/>
      </w:r>
      <w:r>
        <w:rPr>
          <w:b/>
          <w:i/>
        </w:rPr>
        <w:br/>
        <w:t xml:space="preserve">            Nơi nhận:</w:t>
      </w:r>
      <w:r>
        <w:br/>
      </w:r>
      <w:r>
        <w:rPr>
          <w:b w:val="0"/>
          <w:i w:val="0"/>
        </w:rPr>
        <w:t>- Như Điều 3;</w:t>
      </w:r>
      <w:r>
        <w:br/>
      </w:r>
      <w:r>
        <w:rPr>
          <w:b w:val="0"/>
          <w:i w:val="0"/>
        </w:rPr>
        <w:br/>
        <w:t xml:space="preserve">           - Văn phòng Chính phủ;</w:t>
      </w:r>
      <w:r>
        <w:br/>
      </w:r>
      <w:r>
        <w:rPr>
          <w:b w:val="0"/>
          <w:i w:val="0"/>
        </w:rPr>
        <w:br/>
        <w:t xml:space="preserve">           - Vụ Pháp chế thuộc Bộ Tài chính;</w:t>
      </w:r>
      <w:r>
        <w:br/>
      </w:r>
      <w:r>
        <w:rPr>
          <w:b w:val="0"/>
          <w:i w:val="0"/>
        </w:rPr>
        <w:br/>
        <w:t xml:space="preserve">           - Cục kiểm tra văn bản QPPL (Bộ Tư pháp);</w:t>
      </w:r>
      <w:r>
        <w:br/>
      </w:r>
      <w:r>
        <w:rPr>
          <w:b w:val="0"/>
          <w:i w:val="0"/>
        </w:rPr>
        <w:br/>
        <w:t xml:space="preserve">           - TT. Tỉnh ủy, TT. HĐND tỉnh;</w:t>
      </w:r>
      <w:r>
        <w:br/>
      </w:r>
      <w:r>
        <w:rPr>
          <w:b w:val="0"/>
          <w:i w:val="0"/>
        </w:rPr>
        <w:br/>
        <w:t xml:space="preserve">           - Lãnh đạo UBND tỉnh;</w:t>
      </w:r>
      <w:r>
        <w:br/>
      </w:r>
      <w:r>
        <w:rPr>
          <w:b w:val="0"/>
          <w:i w:val="0"/>
        </w:rPr>
        <w:br/>
        <w:t xml:space="preserve">           - Ủy ban MTTQ tỉnh;</w:t>
      </w:r>
      <w:r>
        <w:br/>
      </w:r>
      <w:r>
        <w:rPr>
          <w:b w:val="0"/>
          <w:i w:val="0"/>
        </w:rPr>
        <w:br/>
        <w:t xml:space="preserve">           - Đoàn đại biểu quốc hội tỉnh;</w:t>
      </w:r>
      <w:r>
        <w:br/>
      </w:r>
      <w:r>
        <w:rPr>
          <w:b w:val="0"/>
          <w:i w:val="0"/>
        </w:rPr>
        <w:br/>
        <w:t xml:space="preserve">           - Cổng TTĐT tỉnh, Công báo tỉnh;</w:t>
      </w:r>
      <w:r>
        <w:br/>
      </w:r>
      <w:r>
        <w:rPr>
          <w:b w:val="0"/>
          <w:i w:val="0"/>
        </w:rPr>
        <w:br/>
        <w:t xml:space="preserve">           - Lưu VP1, VP6.</w:t>
      </w:r>
      <w:r>
        <w:rPr>
          <w:b w:val="0"/>
          <w:i w:val="0"/>
        </w:rPr>
        <w:br/>
      </w:r>
      <w:r>
        <w:rPr>
          <w:b w:val="0"/>
          <w:i w:val="0"/>
        </w:rPr>
        <w:br/>
      </w:r>
      <w:r>
        <w:rPr>
          <w:b/>
          <w:i w:val="0"/>
        </w:rPr>
        <w:t>TM. ỦY BAN NHÂN DÂN</w:t>
      </w:r>
      <w:r>
        <w:br/>
      </w:r>
      <w:r>
        <w:rPr>
          <w:b/>
          <w:i w:val="0"/>
        </w:rPr>
        <w:t>KT. CHỦ TỊCH</w:t>
      </w:r>
      <w:r>
        <w:br/>
      </w:r>
      <w:r>
        <w:rPr>
          <w:b/>
          <w:i w:val="0"/>
        </w:rPr>
        <w:br/>
        <w:t xml:space="preserve">           PHÓ CHỦ TỊCH</w:t>
      </w:r>
      <w:r>
        <w:br/>
      </w:r>
      <w:r>
        <w:rPr>
          <w:b w:val="0"/>
          <w:i/>
        </w:rPr>
        <w:t>(Đã ký)</w:t>
      </w:r>
      <w:r>
        <w:br/>
      </w:r>
      <w:r>
        <w:br/>
      </w:r>
      <w:r>
        <w:br/>
      </w:r>
      <w:r>
        <w:rPr>
          <w:b/>
          <w:i w:val="0"/>
        </w:rPr>
        <w:t>Hà Lan Anh</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Điều 3;</w:t>
            </w:r>
            <w:r>
              <w:br/>
            </w:r>
            <w:r>
              <w:rPr>
                <w:b w:val="0"/>
                <w:i w:val="0"/>
              </w:rPr>
              <w:br/>
              <w:t xml:space="preserve">           - Văn phòng Chính phủ;</w:t>
            </w:r>
            <w:r>
              <w:br/>
            </w:r>
            <w:r>
              <w:rPr>
                <w:b w:val="0"/>
                <w:i w:val="0"/>
              </w:rPr>
              <w:br/>
              <w:t xml:space="preserve">           - Vụ Pháp chế thuộc Bộ Tài chính;</w:t>
            </w:r>
            <w:r>
              <w:br/>
            </w:r>
            <w:r>
              <w:rPr>
                <w:b w:val="0"/>
                <w:i w:val="0"/>
              </w:rPr>
              <w:br/>
              <w:t xml:space="preserve">           - Cục kiểm tra văn bản QPPL (Bộ Tư pháp);</w:t>
            </w:r>
            <w:r>
              <w:br/>
            </w:r>
            <w:r>
              <w:rPr>
                <w:b w:val="0"/>
                <w:i w:val="0"/>
              </w:rPr>
              <w:br/>
              <w:t xml:space="preserve">           - TT. Tỉnh ủy, TT. HĐND tỉnh;</w:t>
            </w:r>
            <w:r>
              <w:br/>
            </w:r>
            <w:r>
              <w:rPr>
                <w:b w:val="0"/>
                <w:i w:val="0"/>
              </w:rPr>
              <w:br/>
              <w:t xml:space="preserve">           - Lãnh đạo UBND tỉnh;</w:t>
            </w:r>
            <w:r>
              <w:br/>
            </w:r>
            <w:r>
              <w:rPr>
                <w:b w:val="0"/>
                <w:i w:val="0"/>
              </w:rPr>
              <w:br/>
              <w:t xml:space="preserve">           - Ủy ban MTTQ tỉnh;</w:t>
            </w:r>
            <w:r>
              <w:br/>
            </w:r>
            <w:r>
              <w:rPr>
                <w:b w:val="0"/>
                <w:i w:val="0"/>
              </w:rPr>
              <w:br/>
              <w:t xml:space="preserve">           - Đoàn đại biểu quốc hội tỉnh;</w:t>
            </w:r>
            <w:r>
              <w:br/>
            </w:r>
            <w:r>
              <w:rPr>
                <w:b w:val="0"/>
                <w:i w:val="0"/>
              </w:rPr>
              <w:br/>
              <w:t xml:space="preserve">           - Cổng TTĐT tỉnh, Công báo tỉnh;</w:t>
            </w:r>
            <w:r>
              <w:br/>
            </w:r>
            <w:r>
              <w:rPr>
                <w:b w:val="0"/>
                <w:i w:val="0"/>
              </w:rPr>
              <w:br/>
              <w:t xml:space="preserve">           - Lưu VP1, VP6.</w:t>
            </w:r>
          </w:p>
        </w:tc>
        <w:tc>
          <w:tcPr>
            <w:tcW w:type="dxa" w:w="4320"/>
          </w:tcPr>
          <w:p>
            <w:r>
              <w:rPr>
                <w:b w:val="0"/>
                <w:i w:val="0"/>
              </w:rPr>
              <w:br/>
            </w:r>
            <w:r>
              <w:rPr>
                <w:b/>
                <w:i w:val="0"/>
              </w:rPr>
              <w:t>TM. ỦY BAN NHÂN DÂN</w:t>
            </w:r>
            <w:r>
              <w:br/>
            </w:r>
            <w:r>
              <w:rPr>
                <w:b/>
                <w:i w:val="0"/>
              </w:rPr>
              <w:t>KT. CHỦ TỊCH</w:t>
            </w:r>
            <w:r>
              <w:br/>
            </w:r>
            <w:r>
              <w:rPr>
                <w:b/>
                <w:i w:val="0"/>
              </w:rPr>
              <w:br/>
              <w:t xml:space="preserve">           PHÓ CHỦ TỊCH</w:t>
            </w:r>
            <w:r>
              <w:br/>
            </w:r>
            <w:r>
              <w:rPr>
                <w:b w:val="0"/>
                <w:i/>
              </w:rPr>
              <w:t>(Đã ký)</w:t>
            </w:r>
            <w:r>
              <w:br/>
            </w:r>
            <w:r>
              <w:br/>
            </w:r>
            <w:r>
              <w:br/>
            </w:r>
            <w:r>
              <w:rPr>
                <w:b/>
                <w:i w:val="0"/>
              </w:rPr>
              <w:t>Hà Lan Anh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