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330/2005/QĐ-TTg Về việc ban hành Quy chế bán đấu giá công ty nhà nước</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330/2005/QĐ-TTg</w:t>
        <w:br/>
        <w:t xml:space="preserve">     </w:t>
      </w:r>
      <w:r>
        <w:rPr>
          <w:b w:val="0"/>
          <w:i w:val="0"/>
        </w:rPr>
        <w:br/>
      </w:r>
      <w:r>
        <w:rPr>
          <w:b w:val="0"/>
          <w:i/>
        </w:rPr>
        <w:br/>
        <w:t xml:space="preserve">      Hà Nội, ngày 13 tháng 12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330/2005/QĐ-TTg</w:t>
        <w:br/>
        <w:t xml:space="preserve">     </w:t>
      </w:r>
      <w:r>
        <w:rPr>
          <w:b w:val="0"/>
          <w:i w:val="0"/>
        </w:rPr>
        <w:br/>
      </w:r>
      <w:r>
        <w:rPr>
          <w:b w:val="0"/>
          <w:i/>
        </w:rPr>
        <w:br/>
        <w:t xml:space="preserve">      Hà Nội, ngày 13 tháng 12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330/2005/QĐ-TTg</w:t>
        <w:br/>
        <w:t xml:space="preserve">     </w:t>
      </w:r>
      <w:r>
        <w:rPr>
          <w:b w:val="0"/>
          <w:i w:val="0"/>
        </w:rPr>
        <w:br/>
      </w:r>
      <w:r>
        <w:rPr>
          <w:b w:val="0"/>
          <w:i/>
        </w:rPr>
        <w:br/>
        <w:t xml:space="preserve">      Hà Nội, ngày 13 tháng 12 năm 2005</w:t>
        <w:br/>
        <w:t xml:space="preserve">     </w:t>
      </w:r>
      <w:r>
        <w:rPr>
          <w:b w:val="0"/>
          <w:i w:val="0"/>
        </w:rPr>
        <w:br/>
      </w:r>
    </w:p>
    <w:p>
      <w:pPr>
        <w:jc w:val="center"/>
      </w:pPr>
      <w:r>
        <w:rPr>
          <w:b w:val="0"/>
          <w:i w:val="0"/>
        </w:rPr>
        <w:br/>
        <w:t xml:space="preserve">      Số: 330/2005/QĐ-TTg</w:t>
        <w:br/>
        <w:t xml:space="preserve">     </w:t>
      </w:r>
    </w:p>
    <w:p>
      <w:pPr>
        <w:jc w:val="center"/>
      </w:pPr>
      <w:r>
        <w:rPr>
          <w:b w:val="0"/>
          <w:i w:val="0"/>
        </w:rPr>
        <w:br/>
        <w:t xml:space="preserve">      Hà Nội, ngày 13 tháng 12 năm 2005</w:t>
        <w:br/>
        <w:t xml:space="preserve">     </w:t>
      </w:r>
    </w:p>
    <w:p>
      <w:r>
        <w:rPr>
          <w:b/>
          <w:i w:val="0"/>
        </w:rPr>
        <w:t>QUYẾT ĐỊNH</w:t>
      </w:r>
    </w:p>
    <w:p>
      <w:r>
        <w:rPr>
          <w:b/>
          <w:i w:val="0"/>
        </w:rPr>
        <w:t>Về việc ban hành Quy chế bán đấu giá công ty nhà nước</w:t>
      </w:r>
      <w:r>
        <w:rPr>
          <w:b w:val="0"/>
          <w:i w:val="0"/>
        </w:rPr>
        <w:t xml:space="preserve"> </w:t>
      </w:r>
    </w:p>
    <w:p>
      <w:r>
        <w:rPr>
          <w:b/>
          <w:i w:val="0"/>
        </w:rPr>
        <w:t>THỦ TƯỚNG CHÍNH PHỦ</w:t>
      </w:r>
      <w:r>
        <w:rPr>
          <w:b w:val="0"/>
          <w:i w:val="0"/>
        </w:rPr>
        <w:t xml:space="preserve"> </w:t>
      </w:r>
    </w:p>
    <w:p>
      <w:r>
        <w:rPr>
          <w:b w:val="0"/>
          <w:i/>
        </w:rPr>
        <w:t>Căn cứ Luật Tổ chức Chính phủ ngày 25 tháng 12 năm 2001;</w:t>
      </w:r>
    </w:p>
    <w:p>
      <w:r>
        <w:rPr>
          <w:b w:val="0"/>
          <w:i/>
        </w:rPr>
        <w:t>Căn cứ Luật Doanh nghiệp nhà nước ngày 26 tháng 11 năm 2003;</w:t>
      </w:r>
    </w:p>
    <w:p>
      <w:r>
        <w:rPr>
          <w:b w:val="0"/>
          <w:i/>
        </w:rPr>
        <w:t xml:space="preserve">Căn cứ Nghị định số 80/2005/NĐ-CP ngày 22 tháng 06 năm 2005 của Chính phủ về giao, bán, khoán kinh doanh, cho thuê công ty nhà nước; </w:t>
      </w:r>
    </w:p>
    <w:p>
      <w:r>
        <w:rPr>
          <w:b w:val="0"/>
          <w:i/>
        </w:rPr>
        <w:t>Xét đề nghị của Bộ trưởng Bộ Tài chính,</w:t>
      </w:r>
      <w:r>
        <w:rPr>
          <w:b w:val="0"/>
          <w:i w:val="0"/>
        </w:rPr>
        <w:t xml:space="preserve"> </w:t>
      </w:r>
    </w:p>
    <w:p>
      <w:r>
        <w:rPr>
          <w:b/>
          <w:i w:val="0"/>
        </w:rPr>
        <w:t>QUYẾT ĐỊNH:</w:t>
      </w:r>
      <w:r>
        <w:rPr>
          <w:b w:val="0"/>
          <w:i w:val="0"/>
        </w:rPr>
        <w:t xml:space="preserve"> </w:t>
      </w:r>
    </w:p>
    <w:p>
      <w:r>
        <w:rPr>
          <w:b/>
          <w:i w:val="0"/>
        </w:rPr>
        <w:t xml:space="preserve">Điều 1. </w:t>
      </w:r>
      <w:r>
        <w:rPr>
          <w:b w:val="0"/>
          <w:i w:val="0"/>
        </w:rPr>
        <w:t>Ban hành kèm theo Quyết định này Quy chế bán đấu giá công ty nhà nước.</w:t>
      </w:r>
    </w:p>
    <w:p>
      <w:r>
        <w:rPr>
          <w:b/>
          <w:i w:val="0"/>
        </w:rPr>
        <w:t>Điều 2.</w:t>
      </w:r>
      <w:r>
        <w:rPr>
          <w:b w:val="0"/>
          <w:i w:val="0"/>
        </w:rPr>
        <w:t xml:space="preserve"> Quyết định này có hiệu lực thi hành sau 15 ngày, kể từ ngày đăng Công báo. Các quy định trước đây trái với Quyết định này đều bãi bỏ.</w:t>
      </w:r>
    </w:p>
    <w:p>
      <w:r>
        <w:rPr>
          <w:b/>
          <w:i w:val="0"/>
        </w:rPr>
        <w:t>Điều 3.</w:t>
      </w:r>
      <w:r>
        <w:rPr>
          <w:b w:val="0"/>
          <w:i w:val="0"/>
        </w:rPr>
        <w:t xml:space="preserve"> Các Bộ trưởng, Thủ trưởng cơ quan ngang Bộ, Thủ trưởng cơ quan thuộc Chính phủ, Chủ tịch Ủy ban nhân dân tỉnh, thành phố trực thuộc Trung ương, Hội đồng quản trị Tổng công ty nhà nước do Thủ tướng Chính phủ quyết định thành lập chịu trách nhiệm thi hành Quyết định này./. </w:t>
      </w:r>
    </w:p>
    <w:p>
      <w:r>
        <w:rPr>
          <w:b w:val="0"/>
          <w:i w:val="0"/>
        </w:rPr>
        <w:br/>
      </w:r>
      <w:r>
        <w:rPr>
          <w:b w:val="0"/>
          <w:i w:val="0"/>
        </w:rPr>
        <w:br/>
      </w:r>
      <w:r>
        <w:rPr>
          <w:b/>
          <w:i w:val="0"/>
        </w:rP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