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334/2016/TT-BTC Sửa đổi, bổ sung và thay thế phụ lục 02 và 04 của Thông tư 210/2014/TT-BTC ngày 30/12/2014 của Bộ Tài chính hướng dẫn kế toán áp dụng đối với công ty chứng khoán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BỘ TÀI CHÍNH</w:t>
            </w:r>
            <w:r>
              <w:br/>
            </w:r>
            <w:r>
              <w:rPr>
                <w:b/>
                <w:i w:val="0"/>
              </w:rPr>
              <w:br/>
              <w:t xml:space="preserve">           --------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HÒA XÃ HỘI CHỦ NGHĨA VIỆT NAM</w:t>
            </w:r>
            <w:r>
              <w:br/>
            </w:r>
            <w:r>
              <w:rPr>
                <w:b/>
                <w:i w:val="0"/>
              </w:rPr>
              <w:br/>
              <w:t xml:space="preserve">           Độc lập - Tự do - Hạnh phúc</w:t>
            </w:r>
            <w:r>
              <w:br/>
            </w:r>
            <w:r>
              <w:rPr>
                <w:b/>
                <w:i w:val="0"/>
              </w:rPr>
              <w:br/>
              <w:t xml:space="preserve">           -------------------------------------</w:t>
            </w:r>
          </w:p>
        </w:tc>
      </w:tr>
    </w:tbl>
    <w:p>
      <w:pPr>
        <w:jc w:val="center"/>
      </w:pPr>
      <w:r>
        <w:rPr>
          <w:b/>
          <w:i w:val="0"/>
        </w:rPr>
        <w:t>THÔNG TƯ</w:t>
      </w:r>
    </w:p>
    <w:p>
      <w:pPr>
        <w:jc w:val="center"/>
      </w:pPr>
      <w:r>
        <w:rPr>
          <w:b/>
          <w:i w:val="0"/>
        </w:rPr>
        <w:t>Sửa đổi, bổ sung và thay thế phụ lục 02 và 04 của Thông tư 210/2014/TT-BTC</w:t>
      </w:r>
    </w:p>
    <w:p>
      <w:pPr>
        <w:jc w:val="center"/>
      </w:pPr>
      <w:r>
        <w:rPr>
          <w:b/>
          <w:i w:val="0"/>
        </w:rPr>
        <w:t>ngày 30/12/2014 của Bộ Tài chính hướng dẫn kế toán</w:t>
      </w:r>
    </w:p>
    <w:p>
      <w:pPr>
        <w:jc w:val="center"/>
      </w:pPr>
      <w:r>
        <w:rPr>
          <w:b/>
          <w:i w:val="0"/>
        </w:rPr>
        <w:t>áp dụng đối với công ty chứng khoán</w:t>
      </w:r>
    </w:p>
    <w:p>
      <w:pPr>
        <w:jc w:val="both"/>
      </w:pPr>
      <w:r>
        <w:rPr>
          <w:b w:val="0"/>
          <w:i/>
        </w:rPr>
        <w:t>C</w:t>
      </w:r>
      <w:r>
        <w:rPr>
          <w:b w:val="0"/>
          <w:i/>
        </w:rPr>
        <w:t xml:space="preserve">ăn cứ </w:t>
      </w:r>
      <w:r>
        <w:rPr>
          <w:b w:val="0"/>
          <w:i/>
        </w:rPr>
        <w:t>Luật Kế toán số 03/2003/QH11</w:t>
      </w:r>
      <w:r>
        <w:rPr>
          <w:b w:val="0"/>
          <w:i/>
        </w:rPr>
        <w:t xml:space="preserve"> ngày 17/6/2003;</w:t>
      </w:r>
    </w:p>
    <w:p>
      <w:pPr>
        <w:jc w:val="both"/>
      </w:pPr>
      <w:r>
        <w:rPr>
          <w:b w:val="0"/>
          <w:i/>
        </w:rPr>
        <w:t xml:space="preserve">Căn cứ </w:t>
      </w:r>
      <w:r>
        <w:rPr>
          <w:b w:val="0"/>
          <w:i/>
        </w:rPr>
        <w:t>Luật Chứng khoán số 70/2006/QH11</w:t>
      </w:r>
      <w:r>
        <w:rPr>
          <w:b w:val="0"/>
          <w:i/>
        </w:rPr>
        <w:t xml:space="preserve"> ngày 29/6/2006 và </w:t>
      </w:r>
      <w:r>
        <w:rPr>
          <w:b w:val="0"/>
          <w:i/>
        </w:rPr>
        <w:t>Luật số 62/2010/QH12</w:t>
      </w:r>
      <w:r>
        <w:rPr>
          <w:b w:val="0"/>
          <w:i/>
        </w:rPr>
        <w:t xml:space="preserve"> ngày 24/11/2010 sửa đổi, bổ sung một số điều của </w:t>
      </w:r>
      <w:r>
        <w:rPr>
          <w:b w:val="0"/>
          <w:i/>
        </w:rPr>
        <w:t>Luật Chứng khoán số 70/2006/QH11</w:t>
      </w:r>
      <w:r>
        <w:rPr>
          <w:b w:val="0"/>
          <w:i/>
        </w:rPr>
        <w:t xml:space="preserve"> ngày 29/6/2006;</w:t>
      </w:r>
    </w:p>
    <w:p>
      <w:pPr>
        <w:jc w:val="both"/>
      </w:pPr>
      <w:r>
        <w:rPr>
          <w:b w:val="0"/>
          <w:i/>
        </w:rPr>
        <w:t xml:space="preserve">Căn cứ Nghị định số </w:t>
      </w:r>
      <w:r>
        <w:rPr>
          <w:b w:val="0"/>
          <w:i/>
        </w:rPr>
        <w:t>128/2004/NĐ-CP</w:t>
      </w:r>
      <w:r>
        <w:rPr>
          <w:b w:val="0"/>
          <w:i/>
        </w:rPr>
        <w:t xml:space="preserve"> ngày 31/5/2004 của Chính phủ về việc quy định chi tiết và hướng dẫn thi hành một số điều của </w:t>
      </w:r>
      <w:r>
        <w:rPr>
          <w:b w:val="0"/>
          <w:i/>
        </w:rPr>
        <w:t>Luật Kế toán</w:t>
      </w:r>
      <w:r>
        <w:rPr>
          <w:b w:val="0"/>
          <w:i/>
        </w:rPr>
        <w:t xml:space="preserve"> trong lĩnh vực Nhà nước và Nghị định số </w:t>
      </w:r>
      <w:r>
        <w:rPr>
          <w:b w:val="0"/>
          <w:i/>
        </w:rPr>
        <w:t>129/2004/NĐ-CP</w:t>
      </w:r>
      <w:r>
        <w:rPr>
          <w:b w:val="0"/>
          <w:i/>
        </w:rPr>
        <w:t xml:space="preserve"> ngày 31/5/2004 của Chính phủ về việc quy định chi tiết và hướng dẫn thi hành một số điều của </w:t>
      </w:r>
      <w:r>
        <w:rPr>
          <w:b w:val="0"/>
          <w:i/>
        </w:rPr>
        <w:t>Luật Kế toán</w:t>
      </w:r>
      <w:r>
        <w:rPr>
          <w:b w:val="0"/>
          <w:i/>
        </w:rPr>
        <w:t xml:space="preserve"> trong hoạt động kinh doanh;</w:t>
      </w:r>
    </w:p>
    <w:p>
      <w:pPr>
        <w:jc w:val="both"/>
      </w:pPr>
      <w:r>
        <w:rPr>
          <w:b w:val="0"/>
          <w:i/>
        </w:rPr>
        <w:t xml:space="preserve">Căn cứ Nghị định số </w:t>
      </w:r>
      <w:r>
        <w:rPr>
          <w:b w:val="0"/>
          <w:i/>
        </w:rPr>
        <w:t>58/2012/NĐ-CP</w:t>
      </w:r>
      <w:r>
        <w:rPr>
          <w:b w:val="0"/>
          <w:i/>
        </w:rPr>
        <w:t xml:space="preserve"> ngày 20/7/2012 quy định chi tiết và hướng dẫn thi hành một số điều của </w:t>
      </w:r>
      <w:r>
        <w:rPr>
          <w:b w:val="0"/>
          <w:i/>
        </w:rPr>
        <w:t>Luật Chứng khoán</w:t>
      </w:r>
      <w:r>
        <w:rPr>
          <w:b w:val="0"/>
          <w:i/>
        </w:rPr>
        <w:t xml:space="preserve"> và </w:t>
      </w:r>
      <w:r>
        <w:rPr>
          <w:b w:val="0"/>
          <w:i/>
        </w:rPr>
        <w:t>Luật sửa đổi, bổ sung một số điều của Luật Chứng khoán</w:t>
      </w:r>
      <w:r>
        <w:rPr>
          <w:b w:val="0"/>
          <w:i/>
        </w:rPr>
        <w:t>;</w:t>
      </w:r>
    </w:p>
    <w:p>
      <w:pPr>
        <w:jc w:val="both"/>
      </w:pPr>
      <w:r>
        <w:rPr>
          <w:b w:val="0"/>
          <w:i/>
        </w:rPr>
        <w:t xml:space="preserve">Căn cứ Nghị định số </w:t>
      </w:r>
      <w:r>
        <w:rPr>
          <w:b w:val="0"/>
          <w:i/>
        </w:rPr>
        <w:t>215/2013/NĐ-CP</w:t>
      </w:r>
      <w:r>
        <w:rPr>
          <w:b w:val="0"/>
          <w:i/>
        </w:rPr>
        <w:t xml:space="preserve"> ngày 23/12/2013 của Chính phủ quy định chức năng, nhiệm vụ, quyền hạn và cơ cấu tổ chức của Bộ Tài chính; </w:t>
      </w:r>
    </w:p>
    <w:p>
      <w:pPr>
        <w:jc w:val="both"/>
      </w:pPr>
      <w:r>
        <w:rPr>
          <w:b w:val="0"/>
          <w:i/>
        </w:rPr>
        <w:t>Theo đề nghị của Vụ trưởng Vụ Chế độ kế toán và Kiểm toán,</w:t>
      </w:r>
    </w:p>
    <w:p>
      <w:pPr>
        <w:jc w:val="both"/>
      </w:pPr>
      <w:r>
        <w:rPr>
          <w:b w:val="0"/>
          <w:i/>
        </w:rPr>
        <w:t xml:space="preserve">Bộ trưởng Bộ Tài chính ban hành Thông tư sửa đổi, bổ sung và thay thế phụ lục 02 và 04 của Thông tư </w:t>
      </w:r>
      <w:r>
        <w:rPr>
          <w:b w:val="0"/>
          <w:i/>
        </w:rPr>
        <w:t>210/2014/TT-BTC</w:t>
      </w:r>
      <w:r>
        <w:rPr>
          <w:b w:val="0"/>
          <w:i/>
        </w:rPr>
        <w:t xml:space="preserve"> ngày 30/12/2014 của Bộ Tài chính hướng dẫn kế toán áp dụng đối với công ty chứng khoán.</w:t>
      </w:r>
    </w:p>
    <w:p>
      <w:pPr>
        <w:jc w:val="both"/>
      </w:pPr>
      <w:r>
        <w:rPr>
          <w:b/>
          <w:i w:val="0"/>
        </w:rPr>
        <w:t xml:space="preserve">Điều 1. </w:t>
      </w:r>
      <w:r>
        <w:rPr>
          <w:b w:val="0"/>
          <w:i w:val="0"/>
        </w:rPr>
        <w:t>Sửa đổi, bổ sung và thay thế 02 phụ lục ban hành kèm theo Thông tư 210/2014/TT-BTC ngày 30/12/2014 của Bộ Tài chính hướng dẫn kế toán áp dụng đối với công ty chứng khoán: Phụ lục số 02 - Hệ thống tài khoản kế toán áp dụng cho công ty chứng khoán và Phụ lục số 04 - Mẫu và giải thích báo cáo tài chính của Thông tư 210/2014/TT-BTC ngày 30/12/2014 của Bộ Tài chính hướng dẫn kế toán áp dụng đối với công ty chứng khoán bằng Phụ lục số 02 - Hệ thống tài khoản kế toán áp dụng cho công ty chứng khoán và Phụ lục số 04 - Mẫu và giải thích báo cáo tài chính ban hành kèm theo Thông tư này.</w:t>
      </w:r>
    </w:p>
    <w:p>
      <w:pPr>
        <w:jc w:val="both"/>
      </w:pPr>
      <w:r>
        <w:rPr>
          <w:b/>
          <w:i w:val="0"/>
        </w:rPr>
        <w:t>Điều 2. Hiệu lực thi hành</w:t>
      </w:r>
    </w:p>
    <w:p>
      <w:pPr>
        <w:jc w:val="both"/>
      </w:pPr>
      <w:r>
        <w:rPr>
          <w:b w:val="0"/>
          <w:i w:val="0"/>
        </w:rPr>
        <w:t>Thông tư này có hiệu lực thi hành kể từ ngày ký ban hành và áp dụng cho năm tài chính từ năm 2016./.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t>Nơi nhận: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Thủ tướng, các Phó Thủ tướng Chính phủ;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Văn phòng Chính phủ;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Văn phòng Quốc hội;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Văn phòng Chủ tịch nước;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Văn phòng Tổng bí thư;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Văn phòng TW Đảng;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Văn phòng Ban chi đạo TW về phòng, chống tham nhũng;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Các Bộ, cơ quan ngang Bộ;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Kiểm toán Nhà nước;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Toà án nhân dân tối cao;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Viện kiểm sát nhân dân tối cao;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UBND, Sở Tài chính, Cục thuế các tỉnh, TP trực thuộc TW;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Cục kiểm tra văn bản (Bộ Tư pháp);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Công báo;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Website Chính phủ;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Website Bộ Tài chính;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Các đơn vị thuộc Bộ Tài chính;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- Lưu VT (2 bản), Vụ CĐKT.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KT. BỘ TRƯỞNG</w:t>
            </w:r>
            <w:r>
              <w:br/>
            </w:r>
            <w:r>
              <w:rPr>
                <w:b/>
                <w:i w:val="0"/>
              </w:rPr>
              <w:t>THỨ TRƯỞNG</w:t>
            </w:r>
            <w:r>
              <w:br/>
            </w:r>
            <w:r>
              <w:br/>
            </w:r>
            <w:r>
              <w:rPr>
                <w:b/>
                <w:i/>
              </w:rPr>
              <w:t>(Đã ký)</w:t>
            </w:r>
            <w:r>
              <w:br/>
            </w:r>
            <w:r>
              <w:br/>
            </w:r>
            <w:r>
              <w:br/>
            </w:r>
            <w:r>
              <w:rPr>
                <w:b/>
                <w:i w:val="0"/>
              </w:rPr>
              <w:t>Trần Văn Hiếu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