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33/2024/QĐ-UBND Ban hành danh mục, thời gian sử dụng và tỷ lệ hao mòn tài sản cố định vô hình thuộc phạm vi quản lý của tỉnh An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33/2024/QĐ-UBND</w:t>
      </w:r>
      <w:r>
        <w:rPr>
          <w:b w:val="0"/>
          <w:i w:val="0"/>
        </w:rPr>
        <w:br/>
      </w:r>
      <w:r>
        <w:rPr>
          <w:b w:val="0"/>
          <w:i w:val="0"/>
        </w:rPr>
        <w:br/>
      </w:r>
      <w:r>
        <w:rPr>
          <w:b w:val="0"/>
          <w:i/>
        </w:rPr>
        <w:br/>
      </w:r>
      <w:r>
        <w:rPr>
          <w:b w:val="0"/>
          <w:i/>
        </w:rPr>
        <w:t>An Giang, ngày 25 tháng 9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33/2024/QĐ-UBND</w:t>
      </w:r>
      <w:r>
        <w:rPr>
          <w:b w:val="0"/>
          <w:i w:val="0"/>
        </w:rPr>
        <w:br/>
      </w:r>
      <w:r>
        <w:rPr>
          <w:b w:val="0"/>
          <w:i w:val="0"/>
        </w:rPr>
        <w:br/>
      </w:r>
      <w:r>
        <w:rPr>
          <w:b w:val="0"/>
          <w:i/>
        </w:rPr>
        <w:br/>
      </w:r>
      <w:r>
        <w:rPr>
          <w:b w:val="0"/>
          <w:i/>
        </w:rPr>
        <w:t>An Giang, ngày 25 tháng 9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AN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AN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33/2024/QĐ-UBND</w:t>
      </w:r>
      <w:r>
        <w:rPr>
          <w:b w:val="0"/>
          <w:i w:val="0"/>
        </w:rPr>
        <w:br/>
      </w:r>
      <w:r>
        <w:rPr>
          <w:b w:val="0"/>
          <w:i w:val="0"/>
        </w:rPr>
        <w:br/>
      </w:r>
      <w:r>
        <w:rPr>
          <w:b w:val="0"/>
          <w:i/>
        </w:rPr>
        <w:br/>
      </w:r>
      <w:r>
        <w:rPr>
          <w:b w:val="0"/>
          <w:i/>
        </w:rPr>
        <w:t>An Giang, ngày 25 tháng 9 năm 2024</w:t>
      </w:r>
      <w:r>
        <w:rPr>
          <w:b w:val="0"/>
          <w:i/>
        </w:rPr>
        <w:br/>
      </w:r>
      <w:r>
        <w:rPr>
          <w:b w:val="0"/>
          <w:i w:val="0"/>
        </w:rPr>
        <w:br/>
      </w:r>
    </w:p>
    <w:p>
      <w:pPr>
        <w:jc w:val="center"/>
      </w:pPr>
      <w:r>
        <w:rPr>
          <w:b w:val="0"/>
          <w:i w:val="0"/>
        </w:rPr>
        <w:br/>
      </w:r>
      <w:r>
        <w:rPr>
          <w:b w:val="0"/>
          <w:i w:val="0"/>
        </w:rPr>
        <w:t>Số: 33/2024/QĐ-UBND</w:t>
      </w:r>
      <w:r>
        <w:rPr>
          <w:b w:val="0"/>
          <w:i w:val="0"/>
        </w:rPr>
        <w:br/>
      </w:r>
    </w:p>
    <w:p>
      <w:pPr>
        <w:jc w:val="center"/>
      </w:pPr>
      <w:r>
        <w:rPr>
          <w:b w:val="0"/>
          <w:i w:val="0"/>
        </w:rPr>
        <w:br/>
      </w:r>
      <w:r>
        <w:rPr>
          <w:b w:val="0"/>
          <w:i w:val="0"/>
        </w:rPr>
        <w:t>An Giang, ngày 25 tháng 9 năm 2024</w:t>
      </w:r>
      <w:r>
        <w:rPr>
          <w:b w:val="0"/>
          <w:i w:val="0"/>
        </w:rPr>
        <w:br/>
      </w:r>
    </w:p>
    <w:p>
      <w:r>
        <w:rPr>
          <w:b w:val="0"/>
          <w:i w:val="0"/>
        </w:rPr>
        <w:br/>
      </w:r>
      <w:r>
        <w:rPr>
          <w:b/>
          <w:i w:val="0"/>
        </w:rPr>
        <w:t>QUYẾT ĐỊNH</w:t>
      </w:r>
      <w:r>
        <w:br/>
      </w:r>
      <w:r>
        <w:rPr>
          <w:b/>
          <w:i w:val="0"/>
        </w:rPr>
        <w:br/>
        <w:t xml:space="preserve">       Ban hành danh mục, thời gian sử dụng và tỷ lệ hao mòn tài sản</w:t>
      </w:r>
      <w:r>
        <w:br/>
      </w:r>
      <w:r>
        <w:rPr>
          <w:b/>
          <w:i w:val="0"/>
        </w:rPr>
        <w:br/>
        <w:t xml:space="preserve">       cố định vô hình thuộc phạm vi quản lý của tỉnh An Giang</w:t>
      </w:r>
      <w:r>
        <w:br/>
      </w:r>
      <w:r>
        <w:rPr>
          <w:b/>
          <w:i w:val="0"/>
        </w:rPr>
        <w:br/>
        <w:t xml:space="preserve">       _____________________</w:t>
      </w:r>
      <w:r>
        <w:rPr>
          <w:b w:val="0"/>
          <w:i w:val="0"/>
        </w:rPr>
        <w:br/>
      </w:r>
      <w:r>
        <w:rPr>
          <w:b/>
          <w:i w:val="0"/>
        </w:rPr>
        <w:t>ỦY BAN NHÂN DÂN TỈNH AN GIANG</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 và</w:t>
      </w:r>
      <w:r>
        <w:rPr>
          <w:b w:val="0"/>
          <w:i w:val="0"/>
        </w:rPr>
        <w:t xml:space="preserve"> </w:t>
      </w:r>
      <w:r>
        <w:rPr>
          <w:b w:val="0"/>
          <w:i/>
        </w:rPr>
        <w:t>Luật Sửa đổi, bổ sung một số điều của Luật Ban hành văn bản quy phạm pháp luật ngày 18 tháng 6 năm 2020;</w:t>
      </w:r>
      <w:r>
        <w:rPr>
          <w:b w:val="0"/>
          <w:i w:val="0"/>
        </w:rPr>
        <w:br/>
      </w:r>
      <w:r>
        <w:rPr>
          <w:b w:val="0"/>
          <w:i/>
        </w:rPr>
        <w:t>Căn cứ Luật Quản lý, sử dụng tài sản công ngày 21 tháng 6 năm 2017;</w:t>
      </w:r>
      <w:r>
        <w:rPr>
          <w:b w:val="0"/>
          <w:i w:val="0"/>
        </w:rPr>
        <w:br/>
      </w:r>
      <w:r>
        <w:rPr>
          <w:b w:val="0"/>
          <w:i/>
        </w:rPr>
        <w:t>Căn cứ Nghị định số 151/2017/NĐ-CP ngày 26 tháng 12 năm 2017 của Chính phủ quy định chi tiết một số điều của Luật Quản lý, sử dụng tài sản công;</w:t>
      </w:r>
      <w:r>
        <w:rPr>
          <w:b w:val="0"/>
          <w:i w:val="0"/>
        </w:rPr>
        <w:br/>
      </w:r>
      <w:r>
        <w:rPr>
          <w:b w:val="0"/>
          <w:i/>
        </w:rPr>
        <w:t xml:space="preserve">Căn cứ Thông tư số 23/2023/TT-BTC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 </w:t>
      </w:r>
      <w:r>
        <w:rPr>
          <w:b w:val="0"/>
          <w:i w:val="0"/>
        </w:rPr>
        <w:br/>
      </w:r>
      <w:r>
        <w:rPr>
          <w:b w:val="0"/>
          <w:i/>
        </w:rPr>
        <w:t>Theo đề nghị của Giám đốc Sở Tài chính tại Tờ trình số 919/TTr-STC ngày 29 tháng 8 năm 2024.</w:t>
      </w:r>
      <w:r>
        <w:rPr>
          <w:b w:val="0"/>
          <w:i w:val="0"/>
        </w:rPr>
        <w:br/>
      </w:r>
      <w:r>
        <w:rPr>
          <w:b/>
          <w:i w:val="0"/>
        </w:rPr>
        <w:t>QUYẾT ĐỊNH:</w:t>
      </w:r>
      <w:r>
        <w:rPr>
          <w:b w:val="0"/>
          <w:i w:val="0"/>
        </w:rPr>
        <w:br/>
      </w:r>
      <w:r>
        <w:rPr>
          <w:b/>
          <w:i w:val="0"/>
        </w:rPr>
        <w:t>Điều 1. Phạm vi điều chỉnh</w:t>
      </w:r>
      <w:r>
        <w:rPr>
          <w:b w:val="0"/>
          <w:i w:val="0"/>
        </w:rPr>
        <w:br/>
      </w:r>
      <w:r>
        <w:rPr>
          <w:b w:val="0"/>
          <w:i w:val="0"/>
        </w:rPr>
        <w:t>1. Quyết định này quy định danh mục, thời gian sử dụng và tỷ lệ hao mòn tài sản cố định vô hình (trừ thương hiệu của đơn vị sự nghiệp công lập) tại cơ quan nhà nước, đơn vị sự nghiệp công lập, đơn vị lực lượng vũ trang nhân dân, cơ quan Đảng Cộng sản Việt Nam, Mặt trận Tổ quốc Việt Nam, tổ chức chính trị - xã hội, tổ chức chính trị xã hội - nghề nghiệp, tổ chức xã hội, tổ chức xã hội - nghề nghiệp, tổ chức khác được thành lập theo quy định của pháp luật về hội quy định tại khoản 1 Điều 69, khoản 2 Điều 70 của Luật Quản lý, sử dụng tài sản công và tài sản cố định vô hình do Nhà nước giao cho doanh nghiệp quản lý không tính thành phần vốn Nhà nước tại doanh nghiệp.</w:t>
      </w:r>
      <w:r>
        <w:rPr>
          <w:b w:val="0"/>
          <w:i w:val="0"/>
        </w:rPr>
        <w:br/>
      </w:r>
      <w:r>
        <w:rPr>
          <w:b w:val="0"/>
          <w:i w:val="0"/>
        </w:rPr>
        <w:t>2. Các quy định khác về chế độ quản lý, tính hao mòn tài sản cố định vô hình thực hiện theo quy định tại Thông tư số 23/2023/TT-BTC ngày 25 tháng 4 năm 2023 của Bộ trưởng Bộ Tài chính về việc hướng dẫn chế độ quản lý, tính hao mòn, khấu hao tài sản cố định tại cơ quan, tổ chức, đơn vị và tài sản cố định do nhà nước giao cho doanh nghiệp quản lý không tính thành phần vốn nhà nước tại doanh nghiệp (sau đây gọi là Thông tư số 23/2023/TT-BTC) và các văn bản pháp luật khác có liên quan.</w:t>
      </w:r>
      <w:r>
        <w:rPr>
          <w:b w:val="0"/>
          <w:i w:val="0"/>
        </w:rPr>
        <w:br/>
      </w:r>
      <w:r>
        <w:rPr>
          <w:b/>
          <w:i w:val="0"/>
        </w:rPr>
        <w:t>Điều 2. Đối tượng áp dụng</w:t>
      </w:r>
      <w:r>
        <w:rPr>
          <w:b w:val="0"/>
          <w:i w:val="0"/>
        </w:rPr>
        <w:br/>
      </w:r>
      <w:r>
        <w:rPr>
          <w:b w:val="0"/>
          <w:i w:val="0"/>
        </w:rPr>
        <w:t>1. Việc quản lý, tính hao mòn tài sản cố định vô hình quy định tại Quyết định này áp dụng đối với tài sản cố định vô hình tại cơ quan nhà nước, đơn vị sự nghiệp công lập, đơn vị lực lượng vũ trang nhân dân, cơ quan Đảng Cộng sản Việt Nam, Mặt trận Tổ quốc Việt Nam, tổ chức chính trị - xã hội, tổ chức chính trị xã hội - nghề nghiệp, tổ chức xã hội, tổ chức xã hội - nghề nghiệp, tổ chức khác được thành lập theo quy định của pháp luật về hội quy định tại khoản 1 Điều 69, khoản 2 Điều 70 của Luật Quản lý, sử dụng tài sản công; tài sản cố định vô hình do Nhà nước giao cho doanh nghiệp quản lý không tính thành phần vốn nhà nước tại doanh nghiệp thuộc phạm vi quản lý của tỉnh An Giang.</w:t>
      </w:r>
      <w:r>
        <w:rPr>
          <w:b w:val="0"/>
          <w:i w:val="0"/>
        </w:rPr>
        <w:br/>
      </w:r>
      <w:r>
        <w:rPr>
          <w:b w:val="0"/>
          <w:i w:val="0"/>
        </w:rPr>
        <w:t>2. Khuyến khích các cơ quan, tổ chức, đơn vị, doanh nghiệp khác được thành lập theo quy định của pháp luật áp dụng các quy định tại Quyết định này để quản lý, tính hao mòn tài sản cố định vô hình.</w:t>
      </w:r>
      <w:r>
        <w:rPr>
          <w:b w:val="0"/>
          <w:i w:val="0"/>
        </w:rPr>
        <w:br/>
      </w:r>
      <w:r>
        <w:rPr>
          <w:b/>
          <w:i w:val="0"/>
        </w:rPr>
        <w:t>Điều 3. Danh mục, thời gian sử dụng, tỷ lệ hao mòn tài sản cố định vô hình</w:t>
      </w:r>
      <w:r>
        <w:rPr>
          <w:b w:val="0"/>
          <w:i w:val="0"/>
        </w:rPr>
        <w:br/>
      </w:r>
      <w:r>
        <w:rPr>
          <w:b w:val="0"/>
          <w:i w:val="0"/>
        </w:rPr>
        <w:t>1. Tiêu chuẩn nhận biết tài sản cố định vô hình được quy định tại Điều 3 và điểm b khoản 1 Điều 4 Thông tư số 23/2023/TT-BTC.</w:t>
      </w:r>
      <w:r>
        <w:rPr>
          <w:b w:val="0"/>
          <w:i w:val="0"/>
        </w:rPr>
        <w:br/>
      </w:r>
      <w:r>
        <w:rPr>
          <w:b w:val="0"/>
          <w:i w:val="0"/>
        </w:rPr>
        <w:t>2. Danh mục, thời gian sử dụng và tỷ lệ hao mòn tài sản cố định vô hình: Chi tiết theo Phụ lục kèm theo.</w:t>
      </w:r>
      <w:r>
        <w:rPr>
          <w:b w:val="0"/>
          <w:i w:val="0"/>
        </w:rPr>
        <w:br/>
      </w:r>
      <w:r>
        <w:rPr>
          <w:b/>
          <w:i w:val="0"/>
        </w:rPr>
        <w:t>Điều 4. Tổ chức thực hiện</w:t>
      </w:r>
      <w:r>
        <w:rPr>
          <w:b w:val="0"/>
          <w:i w:val="0"/>
        </w:rPr>
        <w:br/>
      </w:r>
      <w:r>
        <w:rPr>
          <w:b w:val="0"/>
          <w:i w:val="0"/>
        </w:rPr>
        <w:t>1. Giao Sở Tài chính chủ trì, phối hợp với các sở, ban, ngành, đoàn thể cấp tỉnh; Ủy ban nhân dân các huyện, thị xã, thành phố hướng dẫn, triển khai và theo dõi thực hiện Quyết định này.</w:t>
      </w:r>
      <w:r>
        <w:rPr>
          <w:b w:val="0"/>
          <w:i w:val="0"/>
        </w:rPr>
        <w:br/>
      </w:r>
      <w:r>
        <w:rPr>
          <w:b w:val="0"/>
          <w:i w:val="0"/>
        </w:rPr>
        <w:t>2. Các cơ quan, tổ chức, đơn vị trực tiếp quản lý, sử dụng tài sản cố định vô hình căn cứ các nội dung quy định tại Quyết định này, thực hiện việc ghi sổ kế toán, theo dõi và quản lý tài sản cố định vô hình theo đúng quy định.</w:t>
      </w:r>
      <w:r>
        <w:rPr>
          <w:b w:val="0"/>
          <w:i w:val="0"/>
        </w:rPr>
        <w:br/>
      </w:r>
      <w:r>
        <w:rPr>
          <w:b w:val="0"/>
          <w:i w:val="0"/>
        </w:rPr>
        <w:t>3. Trong quá trình thực hiện nếu có phát sinh vướng mắc, các cơ quan, tổ chức, đơn vị phản ánh kịp thời về Sở Tài chính để tổng hợp, báo cáo Ủy ban nhân dân tỉnh xem xét, sửa đổi, bổ sung cho phù hợp.</w:t>
      </w:r>
      <w:r>
        <w:rPr>
          <w:b w:val="0"/>
          <w:i w:val="0"/>
        </w:rPr>
        <w:br/>
      </w:r>
      <w:r>
        <w:rPr>
          <w:b/>
          <w:i w:val="0"/>
        </w:rPr>
        <w:t>Điều 5. Hiệu lực thi hành</w:t>
      </w:r>
      <w:r>
        <w:rPr>
          <w:b w:val="0"/>
          <w:i w:val="0"/>
        </w:rPr>
        <w:br/>
      </w:r>
      <w:r>
        <w:rPr>
          <w:b w:val="0"/>
          <w:i w:val="0"/>
        </w:rPr>
        <w:t>Quyết định này có hiệu lực thi hành kể từ ngày 07 tháng 10 năm 2024 và thay thế Quyết định số 22/2019/QĐ-UBND ngày 11 tháng 7 năm 2019 của Ủy ban nhân dân tỉnh ban hành Danh mục, thời gian sử dụng và tỷ lệ hao mòn tài sản cố định thuộc phạm vi quản lý của tỉnh An Giang.</w:t>
      </w:r>
      <w:r>
        <w:rPr>
          <w:b w:val="0"/>
          <w:i w:val="0"/>
        </w:rPr>
        <w:br/>
      </w:r>
      <w:r>
        <w:rPr>
          <w:b/>
          <w:i w:val="0"/>
        </w:rPr>
        <w:t>Điều 6. Trách nhiệm thi hành</w:t>
      </w:r>
      <w:r>
        <w:rPr>
          <w:b w:val="0"/>
          <w:i w:val="0"/>
        </w:rPr>
        <w:br/>
      </w:r>
      <w:r>
        <w:rPr>
          <w:b w:val="0"/>
          <w:i w:val="0"/>
        </w:rPr>
        <w:t>Chánh Văn phòng Ủy ban nhân dân tỉnh; Giám đốc Sở Tài chính; Thủ trưởng các sở, ban, ngành, đoàn thể cấp tỉnh; Chủ tịch Ủy ban nhân dân các huyện, thị xã, thành phố; Giám đốc công ty, doanh nghiệp nhà nước thuộc tỉnh; Thủ trưởng các cơ quan, tổ chức, đơn vị và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Cổng thông tin điện tử Chính phủ;</w:t>
      </w:r>
      <w:r>
        <w:br/>
      </w:r>
      <w:r>
        <w:rPr>
          <w:b w:val="0"/>
          <w:i w:val="0"/>
        </w:rPr>
        <w:br/>
        <w:t xml:space="preserve">          - Bộ Tài chính;</w:t>
      </w:r>
      <w:r>
        <w:br/>
      </w:r>
      <w:r>
        <w:rPr>
          <w:b w:val="0"/>
          <w:i w:val="0"/>
        </w:rPr>
        <w:br/>
        <w:t xml:space="preserve">          - Cục Kiểm tra văn bản - Bộ Tư pháp;</w:t>
      </w:r>
      <w:r>
        <w:br/>
      </w:r>
      <w:r>
        <w:rPr>
          <w:b w:val="0"/>
          <w:i w:val="0"/>
        </w:rPr>
        <w:br/>
        <w:t xml:space="preserve">          - TT TU, HĐND, UBMTTQVN tỉnh;</w:t>
      </w:r>
      <w:r>
        <w:br/>
      </w:r>
      <w:r>
        <w:rPr>
          <w:b w:val="0"/>
          <w:i w:val="0"/>
        </w:rPr>
        <w:br/>
        <w:t xml:space="preserve">          - Lãnh đạo UBND tỉnh;</w:t>
      </w:r>
      <w:r>
        <w:br/>
      </w:r>
      <w:r>
        <w:rPr>
          <w:b w:val="0"/>
          <w:i w:val="0"/>
        </w:rPr>
        <w:br/>
        <w:t xml:space="preserve">          - Các sở, ban, ngành, đoàn thể cấp tỉnh;</w:t>
      </w:r>
      <w:r>
        <w:br/>
      </w:r>
      <w:r>
        <w:rPr>
          <w:b w:val="0"/>
          <w:i w:val="0"/>
        </w:rPr>
        <w:br/>
        <w:t xml:space="preserve">          - UBND các huyện, thị xã và thành phố;</w:t>
      </w:r>
      <w:r>
        <w:br/>
      </w:r>
      <w:r>
        <w:rPr>
          <w:b w:val="0"/>
          <w:i w:val="0"/>
        </w:rPr>
        <w:br/>
        <w:t xml:space="preserve">          - Các doanh nghiệp nhà nước thuộc tỉnh;</w:t>
      </w:r>
      <w:r>
        <w:br/>
      </w:r>
      <w:r>
        <w:rPr>
          <w:b w:val="0"/>
          <w:i w:val="0"/>
        </w:rPr>
        <w:br/>
        <w:t xml:space="preserve">          - Báo &amp; Đài PTTH An Giang;</w:t>
      </w:r>
      <w:r>
        <w:br/>
      </w:r>
      <w:r>
        <w:rPr>
          <w:b w:val="0"/>
          <w:i w:val="0"/>
        </w:rPr>
        <w:br/>
        <w:t xml:space="preserve">          - Cổng thông tin điện tử An Giang;</w:t>
      </w:r>
      <w:r>
        <w:br/>
      </w:r>
      <w:r>
        <w:rPr>
          <w:b w:val="0"/>
          <w:i w:val="0"/>
        </w:rPr>
        <w:br/>
        <w:t xml:space="preserve">          - VP UBND tỉnh: LĐVP; các phòng, ban &amp; trung tâm;</w:t>
      </w:r>
      <w:r>
        <w:br/>
      </w:r>
      <w:r>
        <w:rPr>
          <w:b w:val="0"/>
          <w:i w:val="0"/>
        </w:rPr>
        <w:br/>
        <w:t xml:space="preserve">          - Lưu: HCTC, Phòng KTTH.</w:t>
      </w:r>
      <w:r>
        <w:rPr>
          <w:b w:val="0"/>
          <w:i w:val="0"/>
        </w:rPr>
        <w:br/>
      </w:r>
      <w:r>
        <w:rPr>
          <w:b w:val="0"/>
          <w:i w:val="0"/>
        </w:rPr>
        <w:br/>
      </w:r>
      <w:r>
        <w:rPr>
          <w:b/>
          <w:i w:val="0"/>
        </w:rPr>
        <w:t xml:space="preserve">               TM. ỦY BAN NHÂN DÂN</w:t>
      </w:r>
      <w:r>
        <w:rPr>
          <w:b w:val="0"/>
          <w:i w:val="0"/>
        </w:rPr>
        <w:br/>
      </w:r>
      <w:r>
        <w:rPr>
          <w:b/>
          <w:i w:val="0"/>
        </w:rPr>
        <w:t xml:space="preserve">                KT. CHỦ TỊCH</w:t>
      </w:r>
      <w:r>
        <w:rPr>
          <w:b w:val="0"/>
          <w:i w:val="0"/>
        </w:rPr>
        <w:br/>
      </w:r>
      <w:r>
        <w:rPr>
          <w:b/>
          <w:i w:val="0"/>
        </w:rPr>
        <w:t xml:space="preserve">                PHÓ CHỦ TỊCH</w:t>
      </w:r>
      <w:r>
        <w:rPr>
          <w:b w:val="0"/>
          <w:i w:val="0"/>
        </w:rPr>
        <w:br/>
      </w:r>
      <w:r>
        <w:rPr>
          <w:b w:val="0"/>
          <w:i w:val="0"/>
        </w:rPr>
        <w:br/>
      </w:r>
      <w:r>
        <w:rPr>
          <w:b w:val="0"/>
          <w:i w:val="0"/>
        </w:rPr>
        <w:t xml:space="preserve"> (Đã ký)</w:t>
      </w:r>
      <w:r>
        <w:rPr>
          <w:b w:val="0"/>
          <w:i w:val="0"/>
        </w:rPr>
        <w:br/>
      </w:r>
      <w:r>
        <w:rPr>
          <w:b w:val="0"/>
          <w:i w:val="0"/>
        </w:rPr>
        <w:br/>
      </w:r>
      <w:r>
        <w:rPr>
          <w:b/>
          <w:i w:val="0"/>
        </w:rPr>
        <w:t xml:space="preserve">                 Nguyễn Thị Minh Thúy         </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Cổng thông tin điện tử Chính phủ;</w:t>
            </w:r>
            <w:r>
              <w:br/>
            </w:r>
            <w:r>
              <w:rPr>
                <w:b w:val="0"/>
                <w:i w:val="0"/>
              </w:rPr>
              <w:br/>
              <w:t xml:space="preserve">          - Bộ Tài chính;</w:t>
            </w:r>
            <w:r>
              <w:br/>
            </w:r>
            <w:r>
              <w:rPr>
                <w:b w:val="0"/>
                <w:i w:val="0"/>
              </w:rPr>
              <w:br/>
              <w:t xml:space="preserve">          - Cục Kiểm tra văn bản - Bộ Tư pháp;</w:t>
            </w:r>
            <w:r>
              <w:br/>
            </w:r>
            <w:r>
              <w:rPr>
                <w:b w:val="0"/>
                <w:i w:val="0"/>
              </w:rPr>
              <w:br/>
              <w:t xml:space="preserve">          - TT TU, HĐND, UBMTTQVN tỉnh;</w:t>
            </w:r>
            <w:r>
              <w:br/>
            </w:r>
            <w:r>
              <w:rPr>
                <w:b w:val="0"/>
                <w:i w:val="0"/>
              </w:rPr>
              <w:br/>
              <w:t xml:space="preserve">          - Lãnh đạo UBND tỉnh;</w:t>
            </w:r>
            <w:r>
              <w:br/>
            </w:r>
            <w:r>
              <w:rPr>
                <w:b w:val="0"/>
                <w:i w:val="0"/>
              </w:rPr>
              <w:br/>
              <w:t xml:space="preserve">          - Các sở, ban, ngành, đoàn thể cấp tỉnh;</w:t>
            </w:r>
            <w:r>
              <w:br/>
            </w:r>
            <w:r>
              <w:rPr>
                <w:b w:val="0"/>
                <w:i w:val="0"/>
              </w:rPr>
              <w:br/>
              <w:t xml:space="preserve">          - UBND các huyện, thị xã và thành phố;</w:t>
            </w:r>
            <w:r>
              <w:br/>
            </w:r>
            <w:r>
              <w:rPr>
                <w:b w:val="0"/>
                <w:i w:val="0"/>
              </w:rPr>
              <w:br/>
              <w:t xml:space="preserve">          - Các doanh nghiệp nhà nước thuộc tỉnh;</w:t>
            </w:r>
            <w:r>
              <w:br/>
            </w:r>
            <w:r>
              <w:rPr>
                <w:b w:val="0"/>
                <w:i w:val="0"/>
              </w:rPr>
              <w:br/>
              <w:t xml:space="preserve">          - Báo &amp; Đài PTTH An Giang;</w:t>
            </w:r>
            <w:r>
              <w:br/>
            </w:r>
            <w:r>
              <w:rPr>
                <w:b w:val="0"/>
                <w:i w:val="0"/>
              </w:rPr>
              <w:br/>
              <w:t xml:space="preserve">          - Cổng thông tin điện tử An Giang;</w:t>
            </w:r>
            <w:r>
              <w:br/>
            </w:r>
            <w:r>
              <w:rPr>
                <w:b w:val="0"/>
                <w:i w:val="0"/>
              </w:rPr>
              <w:br/>
              <w:t xml:space="preserve">          - VP UBND tỉnh: LĐVP; các phòng, ban &amp; trung tâm;</w:t>
            </w:r>
            <w:r>
              <w:br/>
            </w:r>
            <w:r>
              <w:rPr>
                <w:b w:val="0"/>
                <w:i w:val="0"/>
              </w:rPr>
              <w:br/>
              <w:t xml:space="preserve">          - Lưu: HCTC, Phòng KTTH.</w:t>
            </w:r>
          </w:p>
        </w:tc>
        <w:tc>
          <w:tcPr>
            <w:tcW w:type="dxa" w:w="4320"/>
          </w:tcPr>
          <w:p>
            <w:r>
              <w:rPr>
                <w:b w:val="0"/>
                <w:i w:val="0"/>
              </w:rPr>
              <w:br/>
            </w:r>
            <w:r>
              <w:rPr>
                <w:b/>
                <w:i w:val="0"/>
              </w:rPr>
              <w:t xml:space="preserve">               TM. ỦY BAN NHÂN DÂN</w:t>
            </w:r>
            <w:r>
              <w:rPr>
                <w:b w:val="0"/>
                <w:i w:val="0"/>
              </w:rPr>
              <w:br/>
            </w:r>
            <w:r>
              <w:rPr>
                <w:b/>
                <w:i w:val="0"/>
              </w:rPr>
              <w:t xml:space="preserve">                KT. CHỦ TỊCH</w:t>
            </w:r>
            <w:r>
              <w:rPr>
                <w:b w:val="0"/>
                <w:i w:val="0"/>
              </w:rPr>
              <w:br/>
            </w:r>
            <w:r>
              <w:rPr>
                <w:b/>
                <w:i w:val="0"/>
              </w:rPr>
              <w:t xml:space="preserve">                PHÓ CHỦ TỊCH</w:t>
            </w:r>
            <w:r>
              <w:rPr>
                <w:b w:val="0"/>
                <w:i w:val="0"/>
              </w:rPr>
              <w:br/>
            </w:r>
            <w:r>
              <w:rPr>
                <w:b w:val="0"/>
                <w:i w:val="0"/>
              </w:rPr>
              <w:br/>
            </w:r>
            <w:r>
              <w:rPr>
                <w:b w:val="0"/>
                <w:i w:val="0"/>
              </w:rPr>
              <w:t xml:space="preserve"> (Đã ký)</w:t>
            </w:r>
            <w:r>
              <w:rPr>
                <w:b w:val="0"/>
                <w:i w:val="0"/>
              </w:rPr>
              <w:br/>
            </w:r>
            <w:r>
              <w:rPr>
                <w:b w:val="0"/>
                <w:i w:val="0"/>
              </w:rPr>
              <w:br/>
            </w:r>
            <w:r>
              <w:rPr>
                <w:b/>
                <w:i w:val="0"/>
              </w:rPr>
              <w:t xml:space="preserve">                 Nguyễn Thị Minh Thúy         </w:t>
            </w:r>
            <w:r>
              <w:rPr>
                <w:b w:val="0"/>
                <w:i w:val="0"/>
              </w:rPr>
              <w:br/>
            </w:r>
            <w:r>
              <w:rPr>
                <w:b w:val="0"/>
                <w:i w:val="0"/>
              </w:rPr>
              <w:t xml:space="preserve">  </w:t>
            </w:r>
          </w:p>
        </w:tc>
      </w:tr>
    </w:tbl>
    <w:p>
      <w:r>
        <w:rPr>
          <w:b/>
          <w:i w:val="0"/>
        </w:rPr>
        <w:t>Phụ lục</w:t>
      </w:r>
    </w:p>
    <w:p>
      <w:r>
        <w:rPr>
          <w:b/>
          <w:i w:val="0"/>
        </w:rPr>
        <w:t>DANH MỤC, THỜI GIAN SỬ DỤNG VÀ TỶ LỆ TÍNH HAO MÒN</w:t>
      </w:r>
      <w:r>
        <w:br/>
      </w:r>
      <w:r>
        <w:rPr>
          <w:b/>
          <w:i w:val="0"/>
        </w:rPr>
        <w:br/>
        <w:t xml:space="preserve">      TÀI SẢN CỐ ĐỊNH VÔ HÌNH</w:t>
      </w:r>
    </w:p>
    <w:p>
      <w:r>
        <w:rPr>
          <w:b w:val="0"/>
          <w:i/>
        </w:rPr>
        <w:t>(Ban hành kèm theo Quyết định số 33/2024/QĐ-UBND</w:t>
      </w:r>
      <w:r>
        <w:br/>
      </w:r>
      <w:r>
        <w:rPr>
          <w:b w:val="0"/>
          <w:i/>
        </w:rPr>
        <w:br/>
        <w:t xml:space="preserve">      ngày 25 tháng 9 năm 2024 của Ủy ban nhân dân tỉnh An Giang)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w:t>
            </w:r>
            <w:r>
              <w:br/>
            </w:r>
            <w:r>
              <w:rPr>
                <w:b/>
                <w:i w:val="0"/>
              </w:rPr>
              <w:br/>
              <w:t xml:space="preserve">          TT</w:t>
            </w:r>
          </w:p>
        </w:tc>
        <w:tc>
          <w:tcPr>
            <w:tcW w:type="dxa" w:w="2160"/>
          </w:tcPr>
          <w:p>
            <w:r>
              <w:rPr>
                <w:b w:val="0"/>
                <w:i w:val="0"/>
              </w:rPr>
              <w:br/>
            </w:r>
            <w:r>
              <w:rPr>
                <w:b/>
                <w:i w:val="0"/>
              </w:rPr>
              <w:t>Danh mục</w:t>
            </w:r>
          </w:p>
        </w:tc>
        <w:tc>
          <w:tcPr>
            <w:tcW w:type="dxa" w:w="2160"/>
          </w:tcPr>
          <w:p>
            <w:r>
              <w:rPr>
                <w:b w:val="0"/>
                <w:i w:val="0"/>
              </w:rPr>
              <w:br/>
            </w:r>
            <w:r>
              <w:rPr>
                <w:b/>
                <w:i w:val="0"/>
              </w:rPr>
              <w:t>Thời gian sử dụng</w:t>
            </w:r>
            <w:r>
              <w:rPr>
                <w:b w:val="0"/>
                <w:i w:val="0"/>
              </w:rPr>
              <w:br/>
            </w:r>
            <w:r>
              <w:rPr>
                <w:b w:val="0"/>
                <w:i/>
              </w:rPr>
              <w:t>(năm)</w:t>
            </w:r>
          </w:p>
        </w:tc>
        <w:tc>
          <w:tcPr>
            <w:tcW w:type="dxa" w:w="2160"/>
          </w:tcPr>
          <w:p>
            <w:r>
              <w:rPr>
                <w:b w:val="0"/>
                <w:i w:val="0"/>
              </w:rPr>
              <w:br/>
            </w:r>
            <w:r>
              <w:rPr>
                <w:b/>
                <w:i w:val="0"/>
              </w:rPr>
              <w:t xml:space="preserve">Tỷ lệ </w:t>
            </w:r>
            <w:r>
              <w:rPr>
                <w:b w:val="0"/>
                <w:i w:val="0"/>
              </w:rPr>
              <w:br/>
            </w:r>
            <w:r>
              <w:rPr>
                <w:b/>
                <w:i w:val="0"/>
              </w:rPr>
              <w:t>hao mòn</w:t>
            </w:r>
            <w:r>
              <w:rPr>
                <w:b w:val="0"/>
                <w:i w:val="0"/>
              </w:rPr>
              <w:br/>
            </w:r>
            <w:r>
              <w:rPr>
                <w:b w:val="0"/>
                <w:i/>
              </w:rPr>
              <w:t>(% năm)</w:t>
            </w:r>
          </w:p>
        </w:tc>
      </w:tr>
    </w:tbl>
    <w:p>
      <w:r>
        <w:rPr>
          <w:b/>
          <w:i/>
        </w:rPr>
        <w:t>Ghi chú</w:t>
      </w:r>
      <w:r>
        <w:rPr>
          <w:b w:val="0"/>
          <w:i w:val="0"/>
        </w:rPr>
        <w:t>:</w:t>
      </w:r>
    </w:p>
    <w:p>
      <w:r>
        <w:rPr>
          <w:b w:val="0"/>
          <w:i w:val="0"/>
        </w:rPr>
        <w:t>1. Danh mục tài sản cố định vô hình (loại 1, 2, 3): Căn cứ theo Điều 14, 17, 27, 34,  93, 169 Văn bản hợp nhất Luật Sở hữu trí tuệ số 11/VBHN-VPQH ngày 08/7/2022 của Văn phòng Quốc hội và khoản 2 Điều 13 Thông tư số 23/2023/TT-BTC ngày 25/4/2023 của Bộ Tài chính.</w:t>
      </w:r>
    </w:p>
    <w:p>
      <w:r>
        <w:rPr>
          <w:b w:val="0"/>
          <w:i w:val="0"/>
        </w:rPr>
        <w:t>2. Danh mục tài sản cố định vô hình (Loại 4): Căn cứ theo Thông tư số 09/2013/TT-BTTTT ngày 08/4/2013 của Bộ trưởng Bộ Thông tin và Truyền thông ban hành danh mục sản phẩm phần mềm và phần cứng, điện tử.</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Thị Minh Thúy</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Thị Minh Thúy</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Thị Minh Thúy</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Thị Minh Thúy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