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3400/QĐ-BTC Về việc đính chính Thông tư Liên tịch số 43/2005/TTLT/BTC-BQP ngày 02/6/2005 của Bộ Tài chính và Bộ Quốc phòng hướng dẫn chính sách thuế và thu ngân sách nhà nước các đơn vị thuộc Bộ Quốc phòng.</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3400/QĐ-BTC</w:t>
      </w:r>
      <w:r>
        <w:rPr>
          <w:b w:val="0"/>
          <w:i w:val="0"/>
        </w:rPr>
        <w:br/>
      </w:r>
      <w:r>
        <w:rPr>
          <w:b w:val="0"/>
          <w:i w:val="0"/>
        </w:rPr>
        <w:br/>
      </w:r>
      <w:r>
        <w:rPr>
          <w:b w:val="0"/>
          <w:i/>
        </w:rPr>
        <w:br/>
      </w:r>
      <w:r>
        <w:rPr>
          <w:b w:val="0"/>
          <w:i/>
        </w:rPr>
        <w:t>Hà Nội, ngày 04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3400/QĐ-BTC</w:t>
      </w:r>
      <w:r>
        <w:rPr>
          <w:b w:val="0"/>
          <w:i w:val="0"/>
        </w:rPr>
        <w:br/>
      </w:r>
      <w:r>
        <w:rPr>
          <w:b w:val="0"/>
          <w:i w:val="0"/>
        </w:rPr>
        <w:br/>
      </w:r>
      <w:r>
        <w:rPr>
          <w:b w:val="0"/>
          <w:i/>
        </w:rPr>
        <w:br/>
      </w:r>
      <w:r>
        <w:rPr>
          <w:b w:val="0"/>
          <w:i/>
        </w:rPr>
        <w:t>Hà Nội, ngày 04 tháng 10 năm 2005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3400/QĐ-BTC</w:t>
      </w:r>
      <w:r>
        <w:rPr>
          <w:b w:val="0"/>
          <w:i w:val="0"/>
        </w:rPr>
        <w:br/>
      </w:r>
      <w:r>
        <w:rPr>
          <w:b w:val="0"/>
          <w:i w:val="0"/>
        </w:rPr>
        <w:br/>
      </w:r>
      <w:r>
        <w:rPr>
          <w:b w:val="0"/>
          <w:i/>
        </w:rPr>
        <w:br/>
      </w:r>
      <w:r>
        <w:rPr>
          <w:b w:val="0"/>
          <w:i/>
        </w:rPr>
        <w:t>Hà Nội, ngày 04 tháng 10 năm 2005</w:t>
      </w:r>
      <w:r>
        <w:rPr>
          <w:b w:val="0"/>
          <w:i/>
        </w:rPr>
        <w:br/>
      </w:r>
      <w:r>
        <w:rPr>
          <w:b w:val="0"/>
          <w:i w:val="0"/>
        </w:rPr>
        <w:br/>
      </w:r>
    </w:p>
    <w:p>
      <w:pPr>
        <w:jc w:val="center"/>
      </w:pPr>
      <w:r>
        <w:rPr>
          <w:b w:val="0"/>
          <w:i w:val="0"/>
        </w:rPr>
        <w:br/>
      </w:r>
      <w:r>
        <w:rPr>
          <w:b w:val="0"/>
          <w:i w:val="0"/>
        </w:rPr>
        <w:t>Số: 3400/QĐ-BTC</w:t>
      </w:r>
      <w:r>
        <w:rPr>
          <w:b w:val="0"/>
          <w:i w:val="0"/>
        </w:rPr>
        <w:br/>
      </w:r>
    </w:p>
    <w:p>
      <w:pPr>
        <w:jc w:val="center"/>
      </w:pPr>
      <w:r>
        <w:rPr>
          <w:b w:val="0"/>
          <w:i w:val="0"/>
        </w:rPr>
        <w:br/>
      </w:r>
      <w:r>
        <w:rPr>
          <w:b w:val="0"/>
          <w:i w:val="0"/>
        </w:rPr>
        <w:t>Hà Nội, ngày 04 tháng 10 năm 2005</w:t>
      </w:r>
      <w:r>
        <w:rPr>
          <w:b w:val="0"/>
          <w:i w:val="0"/>
        </w:rPr>
        <w:br/>
      </w:r>
    </w:p>
    <w:p>
      <w:r>
        <w:rPr>
          <w:b/>
          <w:i w:val="0"/>
        </w:rPr>
        <w:t>QUYẾT ĐỊNH</w:t>
      </w:r>
    </w:p>
    <w:p>
      <w:r>
        <w:rPr>
          <w:b/>
          <w:i w:val="0"/>
        </w:rPr>
        <w:t xml:space="preserve">Về việc đính chính Thông tư liên tịch số 43/2005/TTLT/BTC-BQP ngày 02/06/2005 </w:t>
      </w:r>
      <w:r>
        <w:rPr>
          <w:b/>
          <w:i w:val="0"/>
        </w:rPr>
        <w:t xml:space="preserve">của Bộ Tài chính và Bộ Quốc phòng hướng dẫn chính sách thuế và thu Ngân sách </w:t>
      </w:r>
      <w:r>
        <w:rPr>
          <w:b/>
          <w:i w:val="0"/>
        </w:rPr>
        <w:t>nhà nước các đơn vị thuộc Bộ Quốc phòng</w:t>
      </w:r>
    </w:p>
    <w:p>
      <w:r>
        <w:rPr>
          <w:b/>
          <w:i w:val="0"/>
        </w:rPr>
        <w:t>BỘ TRƯỞNG BỘ TÀI CHÍNH</w:t>
      </w:r>
    </w:p>
    <w:p>
      <w:r>
        <w:rPr>
          <w:b w:val="0"/>
          <w:i/>
        </w:rPr>
        <w:t>Căn cứ Luật sửa đổi bổ sung một số điều của Luật ban hành văn bản quy phạm pháp luật ngày 26/12/2002;</w:t>
      </w:r>
    </w:p>
    <w:p>
      <w:r>
        <w:rPr>
          <w:b w:val="0"/>
          <w:i/>
        </w:rPr>
        <w:t>Căn cứ Nghị định số 104/2004/NĐ-CP ngày 23/3/2004 về Công báo nước Cộng hoà xã hội chủ nghĩa Việt Nam;</w:t>
      </w:r>
    </w:p>
    <w:p>
      <w:r>
        <w:rPr>
          <w:b w:val="0"/>
          <w:i/>
        </w:rPr>
        <w:t>Căn cứ Nghị định số 77/2003/NĐ-CP ngày 01/7/2003 của Chính phủ quy định chức năng, nhiệm vụ, quyền hạn và cơ cấu tổ chức của Bộ Tài chính;</w:t>
      </w:r>
    </w:p>
    <w:p>
      <w:r>
        <w:rPr>
          <w:b w:val="0"/>
          <w:i/>
        </w:rPr>
        <w:t>Sau khi trao đổi với Bộ Quốc phòng và xét đề nghị của Tổng cục trưởng Tổng cục Thuế,</w:t>
      </w:r>
    </w:p>
    <w:p>
      <w:r>
        <w:rPr>
          <w:b/>
          <w:i w:val="0"/>
        </w:rPr>
        <w:t>QUYẾT ĐỊNH:</w:t>
      </w:r>
    </w:p>
    <w:p>
      <w:r>
        <w:rPr>
          <w:b/>
          <w:i w:val="0"/>
        </w:rPr>
        <w:t>Điều 1.</w:t>
      </w:r>
      <w:r>
        <w:rPr>
          <w:b w:val="0"/>
          <w:i w:val="0"/>
        </w:rPr>
        <w:t xml:space="preserve"> Đính chính đoạn cuối điểm 2b, mục II của Thông tư liên tịch số 43/2005/TTLT/BTC-BQP ngày 02/6/2005 của Bộ Tài chính và Bộ Quốc phòng hướng dẫn chính sách thuế và thu Ngân sách Nhà nước các đơn vị thuộc Bộ Quốc Phòng như sau:</w:t>
      </w:r>
    </w:p>
    <w:p>
      <w:r>
        <w:rPr>
          <w:b/>
          <w:i w:val="0"/>
        </w:rPr>
        <w:t>Đã in là</w:t>
      </w:r>
      <w:r>
        <w:rPr>
          <w:b w:val="0"/>
          <w:i w:val="0"/>
        </w:rPr>
        <w:t>: "Trên cơ sở quyết toán của các công ty quốc phòng, Bộ Quốc phòng xác định số nộp chính thức vào Ngân sách Nhà nước của các công ty quốc phòng và nộp vào Ngân sách Nhà nước Trung ương".</w:t>
      </w:r>
    </w:p>
    <w:p>
      <w:r>
        <w:rPr>
          <w:b/>
          <w:i w:val="0"/>
        </w:rPr>
        <w:t>Sửa lại là</w:t>
      </w:r>
      <w:r>
        <w:rPr>
          <w:b w:val="0"/>
          <w:i w:val="0"/>
        </w:rPr>
        <w:t>: "Trên cơ sở quyết toán của các công ty quốc phòng, Bộ Quốc phòng kiểm tra xác định số nộp chính thức của từng công ty quốc phòng và thực hiện nộp số thuế mà công ty phải nộp vào Ngân sách Nhà nước".</w:t>
      </w:r>
    </w:p>
    <w:p>
      <w:r>
        <w:rPr>
          <w:b/>
          <w:i w:val="0"/>
        </w:rPr>
        <w:t xml:space="preserve">Điều 2. </w:t>
      </w:r>
      <w:r>
        <w:rPr>
          <w:b w:val="0"/>
          <w:i w:val="0"/>
        </w:rPr>
        <w:t>Quyết định này có hiệu lực thi hành kể từ ngày ký. Tổng cục trưởng Tổng cục Thuế, Thủ trưởng các đơn vị thuộc Bộ Tài chính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Trương Chí Trung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Trương Chí Trung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Trương Chí Trung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Trương Chí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