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34/2007/QĐ-BGTVT Về việc ban hành tiêu chuẩn ngành “Cấp kỹ thuật đường sắt”</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34/2007/QĐ-BGTVT</w:t>
      </w:r>
      <w:r>
        <w:rPr>
          <w:b w:val="0"/>
          <w:i w:val="0"/>
        </w:rPr>
        <w:br/>
      </w:r>
      <w:r>
        <w:rPr>
          <w:b w:val="0"/>
          <w:i w:val="0"/>
        </w:rPr>
        <w:br/>
      </w:r>
      <w:r>
        <w:rPr>
          <w:b w:val="0"/>
          <w:i/>
        </w:rPr>
        <w:br/>
      </w:r>
      <w:r>
        <w:rPr>
          <w:b w:val="0"/>
          <w:i/>
        </w:rPr>
        <w:t>Hà Nội, ngày 25 tháng 7 năm 2007</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34/2007/QĐ-BGTVT</w:t>
      </w:r>
      <w:r>
        <w:rPr>
          <w:b w:val="0"/>
          <w:i w:val="0"/>
        </w:rPr>
        <w:br/>
      </w:r>
      <w:r>
        <w:rPr>
          <w:b w:val="0"/>
          <w:i w:val="0"/>
        </w:rPr>
        <w:br/>
      </w:r>
      <w:r>
        <w:rPr>
          <w:b w:val="0"/>
          <w:i/>
        </w:rPr>
        <w:br/>
      </w:r>
      <w:r>
        <w:rPr>
          <w:b w:val="0"/>
          <w:i/>
        </w:rPr>
        <w:t>Hà Nội, ngày 25 tháng 7 năm 2007</w:t>
      </w:r>
      <w:r>
        <w:rPr>
          <w:b w:val="0"/>
          <w:i/>
        </w:rPr>
        <w:br/>
      </w:r>
      <w:r>
        <w:rPr>
          <w:b w:val="0"/>
          <w:i w:val="0"/>
        </w:rPr>
        <w:br/>
      </w:r>
    </w:p>
    <w:p>
      <w:pPr>
        <w:jc w:val="center"/>
      </w:pPr>
      <w:r>
        <w:rPr>
          <w:b w:val="0"/>
          <w:i w:val="0"/>
        </w:rPr>
        <w:br/>
      </w:r>
      <w:r>
        <w:rPr>
          <w:b w:val="0"/>
          <w:i w:val="0"/>
        </w:rPr>
        <w:t>Số: 34/2007/QĐ-BGTVT</w:t>
      </w:r>
      <w:r>
        <w:rPr>
          <w:b w:val="0"/>
          <w:i w:val="0"/>
        </w:rPr>
        <w:br/>
      </w:r>
    </w:p>
    <w:p>
      <w:pPr>
        <w:jc w:val="center"/>
      </w:pPr>
      <w:r>
        <w:rPr>
          <w:b w:val="0"/>
          <w:i w:val="0"/>
        </w:rPr>
        <w:br/>
      </w:r>
      <w:r>
        <w:rPr>
          <w:b w:val="0"/>
          <w:i w:val="0"/>
        </w:rPr>
        <w:t>Hà Nội, ngày 25 tháng 7 năm 2007</w:t>
      </w:r>
      <w:r>
        <w:rPr>
          <w:b w:val="0"/>
          <w:i w:val="0"/>
        </w:rPr>
        <w:br/>
      </w:r>
    </w:p>
    <w:p>
      <w:r>
        <w:rPr>
          <w:b/>
          <w:i w:val="0"/>
        </w:rPr>
        <w:t>QUYẾT ĐỊNH</w:t>
      </w:r>
    </w:p>
    <w:p>
      <w:r>
        <w:rPr>
          <w:b w:val="0"/>
          <w:i w:val="0"/>
        </w:rPr>
        <w:t xml:space="preserve"> VỀ VIỆC BAN HÀNH TIÊU CHUẨN NGÀNH “CẤP KỸ THUẬT ĐƯỜNG SẮT”</w:t>
      </w:r>
    </w:p>
    <w:p>
      <w:r>
        <w:rPr>
          <w:b/>
          <w:i w:val="0"/>
        </w:rPr>
        <w:t>BỘ TRƯỞNG BỘ GIAO THÔNG VẬN TẢI</w:t>
      </w:r>
    </w:p>
    <w:p>
      <w:r>
        <w:rPr>
          <w:b w:val="0"/>
          <w:i/>
        </w:rPr>
        <w:t>Căn cứ Luật Đường sắt số 35/2005/QH11 ngày 14 tháng 6 năm 2005;</w:t>
      </w:r>
    </w:p>
    <w:p>
      <w:r>
        <w:rPr>
          <w:b w:val="0"/>
          <w:i/>
        </w:rPr>
        <w:t xml:space="preserve">Căn cứ Luật Xây dựng  số 16/2003/QH11 ngày 26 tháng 11 năm 2003;        </w:t>
      </w:r>
    </w:p>
    <w:p>
      <w:r>
        <w:rPr>
          <w:b w:val="0"/>
          <w:i/>
        </w:rPr>
        <w:t>Căn cứ Nghị định số 34/2003/NĐ-CP ngày 04 tháng 4 năm 2003 của Chính phủ quy định chức năng, nhiệm vụ, quyền hạn và  cơ cấu tổ chức của Bộ Giao thông vận tải;</w:t>
      </w:r>
    </w:p>
    <w:p>
      <w:r>
        <w:rPr>
          <w:b w:val="0"/>
          <w:i/>
        </w:rPr>
        <w:t>Căn cứ các công văn số 1554/VPCP-KG ngày 23/3/2007 của Văn phòng Chính phủ và số 828/BKHCN-TĐC ngày 09/4/2007 của Bộ Khoa học &amp; công nghệ  về việc hướng dẫn hiệu lực tiêu chuẩn ngành;</w:t>
      </w:r>
    </w:p>
    <w:p>
      <w:r>
        <w:rPr>
          <w:b w:val="0"/>
          <w:i/>
        </w:rPr>
        <w:t>Theo đề nghị của Vụ trưởng Vụ Khoa học công nghệ, Cục trưởng  Cục Đường sắt Việt Nam,</w:t>
      </w:r>
    </w:p>
    <w:p>
      <w:r>
        <w:rPr>
          <w:b/>
          <w:i w:val="0"/>
        </w:rPr>
        <w:t>QUYẾT ĐỊNH</w:t>
      </w:r>
    </w:p>
    <w:p>
      <w:r>
        <w:rPr>
          <w:b/>
          <w:i w:val="0"/>
        </w:rPr>
        <w:t xml:space="preserve">Điều 1. </w:t>
      </w:r>
      <w:r>
        <w:rPr>
          <w:b w:val="0"/>
          <w:i w:val="0"/>
        </w:rPr>
        <w:t>Ban hành kèm theo Quyết định này tiêu chuẩn ngành "Cấp kỹ thuật đường sắt", số đăng ký: 22 TCN 362 - 07</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Chánh Văn phòng Bộ, Vụ trưởng các Vụ: Khoa học công nghệ, Kế hoạch đầu tư, Pháp chế, Vận tải, Cục trưởng Cục Đường sắt Việt Nam, Cục trưởng Cục Giám định và quản lý chất lượng công trình giao thông, Tổng giám đốc Tổng công ty Đường sắt Việt Nam và Thủ trưởng các đơn vị có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Thịnh Đức</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Thịnh Đức</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Thịnh Đức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