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34/2009/NĐ-CP Điều chỉnh lương hưu, trợ cấp bảo hiểm xã hội và trợ cấp hàng tháng đối với cán bộ xã đã nghỉ việc</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34/2009/NĐ-CP</w:t>
      </w:r>
      <w:r>
        <w:rPr>
          <w:b w:val="0"/>
          <w:i w:val="0"/>
        </w:rPr>
        <w:br/>
      </w:r>
      <w:r>
        <w:rPr>
          <w:b w:val="0"/>
          <w:i w:val="0"/>
        </w:rPr>
        <w:br/>
      </w:r>
      <w:r>
        <w:rPr>
          <w:b w:val="0"/>
          <w:i/>
        </w:rPr>
        <w:t>Hà Nội, ngày 06 tháng 4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ĐIỀU CHỈNH LƯƠNG HƯU, TRỢ CẤP BẢO HIỂM XÃ HỘI VÀ TRỢ CẤP HÀNG THÁNG ĐỐI VỚI CÁN BỘ XÃ ĐÃ NGHỈ VIỆC</w:t>
      </w:r>
      <w:r>
        <w:rPr>
          <w:b w:val="0"/>
          <w:i w:val="0"/>
        </w:rPr>
        <w:br/>
      </w:r>
      <w:r>
        <w:rPr>
          <w:b/>
          <w:i w:val="0"/>
        </w:rPr>
        <w:t>CHÍNH PHỦ</w:t>
      </w:r>
      <w:r>
        <w:rPr>
          <w:b w:val="0"/>
          <w:i w:val="0"/>
        </w:rPr>
        <w:br/>
      </w:r>
      <w:r>
        <w:rPr>
          <w:b w:val="0"/>
          <w:i w:val="0"/>
        </w:rPr>
        <w:t xml:space="preserve">Căn cứ Luật Tổ chức Chính phủ ngày 25 tháng 12 năm 2001; </w:t>
      </w:r>
      <w:r>
        <w:br/>
      </w:r>
      <w:r>
        <w:rPr>
          <w:b w:val="0"/>
          <w:i w:val="0"/>
        </w:rPr>
        <w:br/>
        <w:t xml:space="preserve">      Căn cứ Bộ luật Lao động ngày 23 tháng 6 năm 1994;Luật sửa đổi, bổ sung một số điều của Bộ luật Lao động ngày 02 tháng 4 năm 2002 và Luật sửa đổi, bổ sung một số điều của Bộ luật Lao động ngày 29 tháng 11 năm 2006; </w:t>
      </w:r>
      <w:r>
        <w:br/>
      </w:r>
      <w:r>
        <w:rPr>
          <w:b w:val="0"/>
          <w:i w:val="0"/>
        </w:rPr>
        <w:br/>
        <w:t xml:space="preserve">      Căn cứ Luật Bảo hiểm xã hội ngày 29 tháng 6 năm 2006;</w:t>
      </w:r>
      <w:r>
        <w:br/>
      </w:r>
      <w:r>
        <w:rPr>
          <w:b w:val="0"/>
          <w:i w:val="0"/>
        </w:rPr>
        <w:br/>
        <w:t xml:space="preserve">      Xét đề nghị của Bộ trưởng Bộ Lao động - Thương binh và Xã hội, Bộ trưởng Bộ Nội vụ, Bộ trưởng Bộ Tài chính,</w:t>
      </w:r>
      <w:r>
        <w:rPr>
          <w:b w:val="0"/>
          <w:i w:val="0"/>
        </w:rPr>
        <w:br/>
      </w:r>
      <w:r>
        <w:rPr>
          <w:b/>
          <w:i w:val="0"/>
        </w:rPr>
        <w:t>NGHỊ ĐỊNH:</w:t>
      </w:r>
      <w:r>
        <w:rPr>
          <w:b w:val="0"/>
          <w:i w:val="0"/>
        </w:rPr>
        <w:br/>
      </w:r>
      <w:r>
        <w:rPr>
          <w:b/>
          <w:i w:val="0"/>
        </w:rPr>
        <w:t>Điều 1.</w:t>
      </w:r>
      <w:r>
        <w:rPr>
          <w:b w:val="0"/>
          <w:i w:val="0"/>
        </w:rPr>
        <w:t xml:space="preserve"> Điều chỉnh mức lương hưu, trợ cấp bảo hiểm xã hội và trợ cấp hàng tháng đối với các đối tượng sau đây:</w:t>
      </w:r>
      <w:r>
        <w:rPr>
          <w:b w:val="0"/>
          <w:i w:val="0"/>
        </w:rPr>
        <w:br/>
      </w:r>
      <w:r>
        <w:rPr>
          <w:b w:val="0"/>
          <w:i w:val="0"/>
        </w:rPr>
        <w:t>1. Cán bộ, công chức, công nhân, viên chức và người lao động; quân nhân, công an nhân dân và người làm công tác cơ yếu hưởng lương hưu hàng tháng.</w:t>
      </w:r>
      <w:r>
        <w:rPr>
          <w:b w:val="0"/>
          <w:i w:val="0"/>
        </w:rPr>
        <w:br/>
      </w:r>
      <w:r>
        <w:rPr>
          <w:b w:val="0"/>
          <w:i w:val="0"/>
        </w:rPr>
        <w:t>2. Cán bộ xã, phường, thị trấn quy định tại Nghị định số 121/2003/NĐ-CP ngày 21/10/2003 và Nghị định 09/1998/NĐ-CP ngày 23/1/1998 của Chính phủ hưởng lương hưu và trợ cấp hàng tháng.</w:t>
      </w:r>
      <w:r>
        <w:rPr>
          <w:b w:val="0"/>
          <w:i w:val="0"/>
        </w:rPr>
        <w:br/>
      </w:r>
      <w:r>
        <w:rPr>
          <w:b w:val="0"/>
          <w:i w:val="0"/>
        </w:rPr>
        <w:t>3. Người hưởng trợ cấp mất sức lao động hàng tháng; người hưởng trợ cấp hàng tháng theo Quyết định số 91/2000/QĐ-TTg ngày 4/8/2000 của Thủ tướng Chính phủ; công nhân cao su đang hưởng trợ cấp hàng tháng.</w:t>
      </w:r>
      <w:r>
        <w:rPr>
          <w:b w:val="0"/>
          <w:i w:val="0"/>
        </w:rPr>
        <w:br/>
      </w:r>
      <w:r>
        <w:rPr>
          <w:b w:val="0"/>
          <w:i w:val="0"/>
        </w:rPr>
        <w:t>4. Cán bộ xã, phường, thị trấn hưởng trợ cấp hàng tháng theo Quyết định số 130-CP ngày 20/6/1975 của Hội đồng Chính phủ và Quyết định số 111-HĐBT ngày 13/10/1981 của Hội đồng Bộ trưởng.</w:t>
      </w:r>
      <w:r>
        <w:rPr>
          <w:b w:val="0"/>
          <w:i w:val="0"/>
        </w:rPr>
        <w:br/>
      </w:r>
      <w:r>
        <w:rPr>
          <w:b w:val="0"/>
          <w:i w:val="0"/>
        </w:rPr>
        <w:t>5. Quân nhân đã phục viên, xuất ngũ đang hưởng chế độ trợ cấp hàng tháng quy định tại Quyết định số 142/2008/QĐ-TTg ngày 27 tháng 10 năm 2008 của Thủ tướng Chính phủ.</w:t>
      </w:r>
      <w:r>
        <w:rPr>
          <w:b w:val="0"/>
          <w:i w:val="0"/>
        </w:rPr>
        <w:br/>
      </w:r>
      <w:r>
        <w:rPr>
          <w:b/>
          <w:i w:val="0"/>
        </w:rPr>
        <w:t>Điều 2.</w:t>
      </w:r>
      <w:r>
        <w:rPr>
          <w:b w:val="0"/>
          <w:i w:val="0"/>
        </w:rPr>
        <w:t xml:space="preserve"> Từ ngày 01 tháng 5 năm 2009, tăng thêm 5% mức lương hưu, trợ cấp bảo hiểm xã hội và trợ cấp hàng tháng đối với các đối tượng hưởng lương hưu, trợ cấp bảo hiểm xã hội và trợ cấp hàng tháng quy định tại Điều 1 Nghị định này.</w:t>
      </w:r>
      <w:r>
        <w:rPr>
          <w:b w:val="0"/>
          <w:i w:val="0"/>
        </w:rPr>
        <w:br/>
      </w:r>
      <w:r>
        <w:rPr>
          <w:b/>
          <w:i w:val="0"/>
        </w:rPr>
        <w:t>Điều 3.</w:t>
      </w:r>
      <w:r>
        <w:rPr>
          <w:b w:val="0"/>
          <w:i w:val="0"/>
        </w:rPr>
        <w:t xml:space="preserve"> Kinh phí điều chỉnh lương hưu, trợ cấp bảo hiểm xã hội và trợ cấp hàng tháng áp dụng đối với các đối tượng quy định tại Điều 1 Nghị định này được quy định như sau:</w:t>
      </w:r>
      <w:r>
        <w:rPr>
          <w:b w:val="0"/>
          <w:i w:val="0"/>
        </w:rPr>
        <w:br/>
      </w:r>
      <w:r>
        <w:rPr>
          <w:b w:val="0"/>
          <w:i w:val="0"/>
        </w:rPr>
        <w:t>1. Ngân sách nhà nước bảo đảm đối với các đối tượng hưởng chế độ bảo hiểm xã hội trước ngày 01 tháng 10 năm 1995, hưởng trợ cấp hàng tháng theo Quyết định số 91/2000/QĐ-TTg ngày 04 tháng 8 năm 2000 của Thủ tướng Chính phủ, hưởng lương hưu theo Nghị định số 159/2006/NĐ-CP ngày 28 tháng 12 năm 2006 của Chính phủ và hưởng trợ cấp hàng tháng quy định tại khoản 4 Điều 1 Nghị định này.</w:t>
      </w:r>
      <w:r>
        <w:rPr>
          <w:b w:val="0"/>
          <w:i w:val="0"/>
        </w:rPr>
        <w:br/>
      </w:r>
      <w:r>
        <w:rPr>
          <w:b w:val="0"/>
          <w:i w:val="0"/>
        </w:rPr>
        <w:t>2. Quỹ bảo hiểm xã hội bảo đảm đối với các đối tượng hưởng chế độ bảo hiểm xã hội từ ngày 01 tháng 10 năm 1995 trở đi kể cả đối tượng đang hưởng lương hưu, trợ cấp bảo hiểm xã hội hàng tháng theo Nghị định số 121/2003/NĐ-CP ngày 21 tháng 10 năm 2003 và Nghị định số 09/1998/NĐ-CP ngày 23 tháng 01 năm 1998 của Chính phủ.</w:t>
      </w:r>
      <w:r>
        <w:rPr>
          <w:b w:val="0"/>
          <w:i w:val="0"/>
        </w:rPr>
        <w:br/>
      </w:r>
      <w:r>
        <w:rPr>
          <w:b/>
          <w:i w:val="0"/>
        </w:rPr>
        <w:t>Điều 4.</w:t>
      </w:r>
      <w:r>
        <w:rPr>
          <w:b w:val="0"/>
          <w:i w:val="0"/>
        </w:rPr>
        <w:br/>
      </w:r>
      <w:r>
        <w:rPr>
          <w:b w:val="0"/>
          <w:i w:val="0"/>
        </w:rPr>
        <w:t>1. Bộ Lao động - Thương binh và Xã hội có trách nhiệm hướng dẫn thực hiện việc điều chỉnh lương hưu và trợ cấp bảo hiểm xã hội quy định tại các khoản 1 , 2 và 3 Điều 1 Nghị định này.</w:t>
      </w:r>
      <w:r>
        <w:rPr>
          <w:b w:val="0"/>
          <w:i w:val="0"/>
        </w:rPr>
        <w:br/>
      </w:r>
      <w:r>
        <w:rPr>
          <w:b w:val="0"/>
          <w:i w:val="0"/>
        </w:rPr>
        <w:t>2. Bộ Nội vụ chủ trì, phối hợp với Bộ Tài chính hướng dẫn thực hiện việc điều chỉnh trợ cấp hàng tháng đối với đối tượng quy định tại khoản 4 Điều 1 Nghị định này.</w:t>
      </w:r>
      <w:r>
        <w:rPr>
          <w:b w:val="0"/>
          <w:i w:val="0"/>
        </w:rPr>
        <w:br/>
      </w:r>
      <w:r>
        <w:rPr>
          <w:b w:val="0"/>
          <w:i w:val="0"/>
        </w:rPr>
        <w:t>3. Bộ Quốc phòng chủ trì, phối hợp với Bộ Tài chính hướng dẫn thực hiện việc điều chỉnh trợ cấp hàng tháng đối với đối tượng quy định tại khoản 5 Điều 1 Nghị định này.</w:t>
      </w:r>
      <w:r>
        <w:rPr>
          <w:b w:val="0"/>
          <w:i w:val="0"/>
        </w:rPr>
        <w:br/>
      </w:r>
      <w:r>
        <w:rPr>
          <w:b w:val="0"/>
          <w:i w:val="0"/>
        </w:rPr>
        <w:t>4. Bộ Tài chính có trách nhiệm bảo đảm kinh phí điều chỉnh lương hưu, trợ cấp bảo hiểm xã hội, trợ cấp hàng tháng đối với các đối tượng do ngân sách nhà nước bảo đảm.</w:t>
      </w:r>
      <w:r>
        <w:rPr>
          <w:b w:val="0"/>
          <w:i w:val="0"/>
        </w:rPr>
        <w:br/>
      </w:r>
      <w:r>
        <w:rPr>
          <w:b w:val="0"/>
          <w:i w:val="0"/>
        </w:rPr>
        <w:t>5. Bảo hiểm Xã hội Việt Nam có trách nhiệm thực hiện việc điều chỉnh, chi trả lương hưu, trợ cấp bảo hiểm xã hội và trợ cấp hàng tháng đối với các đối tượng quy định tại các khoản 1, 2 và 3 Điều 1 Nghị định này.</w:t>
      </w:r>
      <w:r>
        <w:rPr>
          <w:b w:val="0"/>
          <w:i w:val="0"/>
        </w:rPr>
        <w:br/>
      </w:r>
      <w:r>
        <w:rPr>
          <w:b/>
          <w:i w:val="0"/>
        </w:rPr>
        <w:t>Điều 5.</w:t>
      </w:r>
      <w:r>
        <w:rPr>
          <w:b w:val="0"/>
          <w:i w:val="0"/>
        </w:rPr>
        <w:t xml:space="preserve"> Nghị định này có hiệu lực thi hành sau 45 ngày, kể từ ngày ký ban hành.</w:t>
      </w:r>
      <w:r>
        <w:rPr>
          <w:b w:val="0"/>
          <w:i w:val="0"/>
        </w:rPr>
        <w:br/>
      </w:r>
      <w:r>
        <w:rPr>
          <w:b/>
          <w:i w:val="0"/>
        </w:rPr>
        <w:t>Điều 6.</w:t>
      </w:r>
      <w:r>
        <w:rPr>
          <w:b w:val="0"/>
          <w:i w:val="0"/>
        </w:rPr>
        <w:t xml:space="preserve"> Các Bộ trưởng, Thủ trưởng cơ quan ngang Bộ, Thủ trưởng cơ quan thuộc Chính phủ, Chủ tịch Ủy ban nhân dân các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Văn phòng BCĐTW về phòng, chống tham nhũng;</w:t>
      </w:r>
      <w:r>
        <w:br/>
      </w:r>
      <w:r>
        <w:rPr>
          <w:b w:val="0"/>
          <w:i w:val="0"/>
        </w:rPr>
        <w:t>- HĐND, UBND các tỉnh, thành phố trực thuộc Trung ương;</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UB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Các Tập đoàn kinh tế NN, Tổng công ty 91;</w:t>
      </w:r>
      <w:r>
        <w:br/>
      </w:r>
      <w:r>
        <w:rPr>
          <w:b w:val="0"/>
          <w:i w:val="0"/>
        </w:rPr>
        <w:t>- VPCP: BTCN, các PCN, Cổng TTĐT, các Vụ, Cục, đơn vị trực thuộc, Công báo;</w:t>
      </w:r>
      <w:r>
        <w:br/>
      </w:r>
      <w:r>
        <w:rPr>
          <w:b w:val="0"/>
          <w:i w:val="0"/>
        </w:rPr>
        <w:t>- Lưu: Văn thư, KGVX (5b)</w:t>
      </w:r>
      <w:r>
        <w:rPr>
          <w:b w:val="0"/>
          <w:i w:val="0"/>
        </w:rPr>
        <w:br/>
      </w:r>
      <w:r>
        <w:rPr>
          <w:b w:val="0"/>
          <w:i w:val="0"/>
        </w:rPr>
        <w:br/>
      </w:r>
      <w:r>
        <w:rPr>
          <w:b/>
          <w:i w:val="0"/>
        </w:rPr>
        <w:t>TM. CHÍNH PHỦ</w:t>
      </w:r>
      <w:r>
        <w:br/>
      </w:r>
      <w:r>
        <w:rPr>
          <w:b/>
          <w:i w:val="0"/>
        </w:rPr>
        <w:br/>
        <w:t xml:space="preserve">           THỦ TƯỚNG</w:t>
      </w:r>
      <w:r>
        <w:br/>
      </w:r>
      <w:r>
        <w:rPr>
          <w:b/>
          <w:i/>
        </w:rPr>
        <w:t>(Đã ký)</w:t>
      </w:r>
      <w:r>
        <w:br/>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Văn phòng BCĐTW về phòng, chống tham nhũng;</w:t>
            </w:r>
            <w:r>
              <w:br/>
            </w:r>
            <w:r>
              <w:rPr>
                <w:b w:val="0"/>
                <w:i w:val="0"/>
              </w:rPr>
              <w:t>- HĐND, UBND các tỉnh, thành phố trực thuộc Trung ương;</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UB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Các Tập đoàn kinh tế NN, Tổng công ty 91;</w:t>
            </w:r>
            <w:r>
              <w:br/>
            </w:r>
            <w:r>
              <w:rPr>
                <w:b w:val="0"/>
                <w:i w:val="0"/>
              </w:rPr>
              <w:t>- VPCP: BTCN, các PCN, Cổng TTĐT, các Vụ, Cục, đơn vị trực thuộc, Công báo;</w:t>
            </w:r>
            <w:r>
              <w:br/>
            </w:r>
            <w:r>
              <w:rPr>
                <w:b w:val="0"/>
                <w:i w:val="0"/>
              </w:rPr>
              <w:t>- Lưu: Văn thư, KGVX (5b)</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