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hợp nhất số 34/VBHN-BTC của Bộ Tài chính - Bộ Quốc phòng hướng dẫn thực hiện chính sách thuế và thu ngân sách nhà nước đối với hoạt động sản xuất, kinh doanh hàng hóa, dịch vụ của các đơn vị thuộc Bộ Quốc phòng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