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35-TC/NSNN Bổ sung và hướng dẫn mục lục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r>
        <w:rPr>
          <w:b w:val="0"/>
          <w:i w:val="0"/>
        </w:rPr>
        <w:t>Bổ sung và hướng dẫn mục lục ngân sách Nhà nước</w:t>
      </w:r>
    </w:p>
    <w:p>
      <w:r>
        <w:rPr>
          <w:b w:val="0"/>
          <w:i w:val="0"/>
        </w:rPr>
        <w:t>______________________________</w:t>
      </w:r>
    </w:p>
    <w:p>
      <w:pPr>
        <w:jc w:val="both"/>
      </w:pPr>
      <w:r>
        <w:rPr>
          <w:b w:val="0"/>
          <w:i w:val="0"/>
        </w:rPr>
        <w:t>Để phản ánh kịp thời và đầy đủ vào Ngân sách Nhà nước những khoản thu chi của các tổ chức kinh tế cho phù hợp với những quy định của Nhà nước về tổ chức xuất nhập khẩu và xí nghiệp liên doanh dầu khí, Bộ Tài chính bổ sung và hướng dẫn một số điểm trong Mục lục Ngân sách Nhà nước như sau:</w:t>
      </w:r>
    </w:p>
    <w:p>
      <w:r>
        <w:rPr>
          <w:b w:val="0"/>
          <w:i w:val="0"/>
        </w:rPr>
        <w:t>A- Về thu:</w:t>
      </w:r>
    </w:p>
    <w:p>
      <w:pPr>
        <w:jc w:val="both"/>
      </w:pPr>
      <w:r>
        <w:rPr>
          <w:b w:val="0"/>
          <w:i w:val="0"/>
        </w:rPr>
        <w:t>1/ Toàn bộ số thu về chênh lệch ngoại thương của tất cả các tổ chức Trung ương và địa phương được Hội đồng Bộ trưởng cho phép trực tiếp xuất, nhập khẩu (quy định tại Điều 1, Nghị định số 200-CP ngày 26 tháng 5 năm 1981 của Hội đồng Chính phủ) đều tập trung vào khoản 30 “Thu về chênh lệch ngoại thương”, khoản này bao gồm các Hạng sau đây:</w:t>
      </w:r>
    </w:p>
    <w:p>
      <w:pPr>
        <w:jc w:val="both"/>
      </w:pPr>
      <w:r>
        <w:rPr>
          <w:b w:val="0"/>
          <w:i w:val="0"/>
        </w:rPr>
        <w:t>- Hạng 1: Bộ Ngoại thương và các tổ chức xuất nhập khẩu địa phương</w:t>
      </w:r>
    </w:p>
    <w:p>
      <w:pPr>
        <w:jc w:val="both"/>
      </w:pPr>
      <w:r>
        <w:rPr>
          <w:b w:val="0"/>
          <w:i w:val="0"/>
        </w:rPr>
        <w:t>- Hạng 2: Bộ Hải sản</w:t>
      </w:r>
    </w:p>
    <w:p>
      <w:pPr>
        <w:jc w:val="both"/>
      </w:pPr>
      <w:r>
        <w:rPr>
          <w:b w:val="0"/>
          <w:i w:val="0"/>
        </w:rPr>
        <w:t>- Hạng 3: Bộ Công nghiệp nhẹ</w:t>
      </w:r>
    </w:p>
    <w:p>
      <w:pPr>
        <w:jc w:val="both"/>
      </w:pPr>
      <w:r>
        <w:rPr>
          <w:b w:val="0"/>
          <w:i w:val="0"/>
        </w:rPr>
        <w:t>- Hạng 4: Bộ Mỏ và Than</w:t>
      </w:r>
    </w:p>
    <w:p>
      <w:pPr>
        <w:jc w:val="both"/>
      </w:pPr>
      <w:r>
        <w:rPr>
          <w:b w:val="0"/>
          <w:i w:val="0"/>
        </w:rPr>
        <w:t>- Hạng 5: Bộ Nội thương</w:t>
      </w:r>
    </w:p>
    <w:p>
      <w:pPr>
        <w:jc w:val="both"/>
      </w:pPr>
      <w:r>
        <w:rPr>
          <w:b w:val="0"/>
          <w:i w:val="0"/>
        </w:rPr>
        <w:t>- Hạng 6: Bộ Lương thực</w:t>
      </w:r>
    </w:p>
    <w:p>
      <w:pPr>
        <w:jc w:val="both"/>
      </w:pPr>
      <w:r>
        <w:rPr>
          <w:b w:val="0"/>
          <w:i w:val="0"/>
        </w:rPr>
        <w:t>- Hạng 15: Các đơn vị khác</w:t>
      </w:r>
    </w:p>
    <w:p>
      <w:pPr>
        <w:jc w:val="both"/>
      </w:pPr>
      <w:r>
        <w:rPr>
          <w:b w:val="0"/>
          <w:i w:val="0"/>
        </w:rPr>
        <w:t>Số thu của khoản 30 không điều tiết giữa các cấp Ngân sách.</w:t>
      </w:r>
    </w:p>
    <w:p>
      <w:pPr>
        <w:jc w:val="both"/>
      </w:pPr>
      <w:r>
        <w:rPr>
          <w:b w:val="0"/>
          <w:i w:val="0"/>
        </w:rPr>
        <w:t>2/ Để theo dõi số thu của xí nghiệp liên doanh dầu khí, trong khoản 6: “Thu của Tổng cục Dầu khí”, mở thêm Hạng 2: “Thu của xí nghiệp liên doanh”.</w:t>
      </w:r>
    </w:p>
    <w:p>
      <w:pPr>
        <w:jc w:val="both"/>
      </w:pPr>
      <w:r>
        <w:rPr>
          <w:b w:val="0"/>
          <w:i w:val="0"/>
        </w:rPr>
        <w:t>B. Về chi:</w:t>
      </w:r>
    </w:p>
    <w:p>
      <w:pPr>
        <w:jc w:val="both"/>
      </w:pPr>
      <w:r>
        <w:rPr>
          <w:b w:val="0"/>
          <w:i w:val="0"/>
        </w:rPr>
        <w:t>1/ Trong khoản 3: “Chi về công nghiệp nhẹ”, mở thêm Hạng 5: “Chi về kinh doanh ngoại thương” để ghi số chi của Tổng Công ty xuất nhập khẩu hạng dệt của Bộ Công nghiệp nhẹ.</w:t>
      </w:r>
    </w:p>
    <w:p>
      <w:pPr>
        <w:jc w:val="both"/>
      </w:pPr>
      <w:r>
        <w:rPr>
          <w:b w:val="0"/>
          <w:i w:val="0"/>
        </w:rPr>
        <w:t>2/ Trong khoản 8: “Chi về hải sản”, mở thêm Hạng 5: “Chi về kinh doanh ngoại thương” để ghi số chi của Công ty xuất nhập khẩu thuỷ sản của Bộ Hải sản.</w:t>
      </w:r>
    </w:p>
    <w:p>
      <w:pPr>
        <w:jc w:val="both"/>
      </w:pPr>
      <w:r>
        <w:rPr>
          <w:b w:val="0"/>
          <w:i w:val="0"/>
        </w:rPr>
        <w:t>3/ Trong khoản 101: “Chi về công nghiệp mỏ và than”, mở thêm Hạng 5: “Chi về kinh doanh ngoại thương” để ghi số chi xuất nhập khẩu than của Bộ Mỏ và Than.</w:t>
      </w:r>
    </w:p>
    <w:p>
      <w:pPr>
        <w:jc w:val="both"/>
      </w:pPr>
      <w:r>
        <w:rPr>
          <w:b w:val="0"/>
          <w:i w:val="0"/>
        </w:rPr>
        <w:t>4/ Trong khoản 17: “Chi về thương nghiệp cấp I”, mở thêm Hạng 5: “Chi về kinh doanh ngoại thương” để ghi số chi của Công ty xuất nhập khẩu Nội thương thuộc Bộ Nội thương.</w:t>
      </w:r>
    </w:p>
    <w:p>
      <w:pPr>
        <w:jc w:val="both"/>
      </w:pPr>
      <w:r>
        <w:rPr>
          <w:b w:val="0"/>
          <w:i w:val="0"/>
        </w:rPr>
        <w:t>5/ Trong khoản 19: “Chi về  quản lý và kinh doanh lương thực”, mở thêm Hạng 5: “Chi về kinh doanh ngoại thương” để ghi số chi của Công ty xuất nhập khẩu lương thực của Bộ Lương thực.</w:t>
      </w:r>
    </w:p>
    <w:p>
      <w:pPr>
        <w:jc w:val="both"/>
      </w:pPr>
      <w:r>
        <w:rPr>
          <w:b w:val="0"/>
          <w:i w:val="0"/>
        </w:rPr>
        <w:t>6/ Số chi của các Liên hiệp Công ty xuất nhập khẩu và Công ty liên hiệp xuất nhập khẩu của địa phương ghi vào các Hạng mục thích hợp của khoản 23. “Chi về ngoại thương”.</w:t>
      </w:r>
    </w:p>
    <w:p>
      <w:pPr>
        <w:jc w:val="both"/>
      </w:pPr>
      <w:r>
        <w:rPr>
          <w:b w:val="0"/>
          <w:i w:val="0"/>
        </w:rPr>
        <w:t>7/ Trong khoản 6: “Chi về thăm dò dầu khí” mở thêm Hạng 2: “Chi về xí nghiệp liên doanh” để ghi số chi cho xí nghiệp liên doanh dầu khí Việt-xô.</w:t>
      </w:r>
    </w:p>
    <w:p>
      <w:pPr>
        <w:jc w:val="both"/>
      </w:pPr>
      <w:r>
        <w:rPr>
          <w:b w:val="0"/>
          <w:i w:val="0"/>
        </w:rPr>
        <w:t>Các điểm bổ sung trên đây bắt đầu thực hiện từ ngày 1 tháng 1 năm 1983./.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i w:val="0"/>
              </w:rPr>
              <w:t xml:space="preserve"> </w:t>
            </w:r>
            <w:r>
              <w:rPr>
                <w:b w:val="0"/>
                <w:i w:val="0"/>
              </w:rPr>
              <w:br/>
            </w:r>
            <w:r>
              <w:rPr>
                <w:b/>
                <w:i w:val="0"/>
              </w:rPr>
              <w:t>THỨ TRƯỞNG</w:t>
            </w:r>
            <w:r>
              <w:rPr>
                <w:b w:val="0"/>
                <w:i w:val="0"/>
              </w:rPr>
              <w:br/>
            </w:r>
            <w:r>
              <w:rPr>
                <w:b w:val="0"/>
                <w:i/>
              </w:rPr>
              <w:t>(Đã ký)</w:t>
            </w:r>
            <w:r>
              <w:rPr>
                <w:b w:val="0"/>
                <w:i w:val="0"/>
              </w:rPr>
              <w:br/>
            </w:r>
            <w:r>
              <w:rPr>
                <w:b w:val="0"/>
                <w:i w:val="0"/>
              </w:rPr>
              <w:t xml:space="preserve"> </w:t>
            </w:r>
            <w:r>
              <w:rPr>
                <w:b w:val="0"/>
                <w:i w:val="0"/>
              </w:rPr>
              <w:br/>
            </w:r>
            <w:r>
              <w:rPr>
                <w:b/>
                <w:i/>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