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351QĐ/BNN-VP Về việc thực hiện thí điểm giải quyết công việc theo mô hình “Một cửa” tại các Cục nông nghiệp, thú y và bảo vệ thực vật</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351QĐ/BNN-VP</w:t>
      </w:r>
      <w:r>
        <w:rPr>
          <w:b w:val="0"/>
          <w:i w:val="0"/>
        </w:rPr>
        <w:br/>
      </w:r>
      <w:r>
        <w:rPr>
          <w:b w:val="0"/>
          <w:i w:val="0"/>
        </w:rPr>
        <w:br/>
      </w:r>
      <w:r>
        <w:rPr>
          <w:b w:val="0"/>
          <w:i/>
        </w:rPr>
        <w:br/>
      </w:r>
      <w:r>
        <w:rPr>
          <w:b w:val="0"/>
          <w:i/>
        </w:rPr>
        <w:t>Hà Nội, ngày 21 tháng 2 năm 2005</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351QĐ/BNN-VP</w:t>
      </w:r>
      <w:r>
        <w:rPr>
          <w:b w:val="0"/>
          <w:i w:val="0"/>
        </w:rPr>
        <w:br/>
      </w:r>
      <w:r>
        <w:rPr>
          <w:b w:val="0"/>
          <w:i w:val="0"/>
        </w:rPr>
        <w:br/>
      </w:r>
      <w:r>
        <w:rPr>
          <w:b w:val="0"/>
          <w:i/>
        </w:rPr>
        <w:br/>
      </w:r>
      <w:r>
        <w:rPr>
          <w:b w:val="0"/>
          <w:i/>
        </w:rPr>
        <w:t>Hà Nội, ngày 21 tháng 2 năm 2005</w:t>
      </w:r>
      <w:r>
        <w:rPr>
          <w:b w:val="0"/>
          <w:i/>
        </w:rPr>
        <w:br/>
      </w:r>
      <w:r>
        <w:rPr>
          <w:b w:val="0"/>
          <w:i w:val="0"/>
        </w:rPr>
        <w:br/>
      </w:r>
    </w:p>
    <w:p>
      <w:pPr>
        <w:jc w:val="center"/>
      </w:pPr>
      <w:r>
        <w:rPr>
          <w:b w:val="0"/>
          <w:i w:val="0"/>
        </w:rPr>
        <w:br/>
      </w:r>
      <w:r>
        <w:rPr>
          <w:b w:val="0"/>
          <w:i w:val="0"/>
        </w:rPr>
        <w:t>Số: 351QĐ/BNN-VP</w:t>
      </w:r>
      <w:r>
        <w:rPr>
          <w:b w:val="0"/>
          <w:i w:val="0"/>
        </w:rPr>
        <w:br/>
      </w:r>
    </w:p>
    <w:p>
      <w:pPr>
        <w:jc w:val="center"/>
      </w:pPr>
      <w:r>
        <w:rPr>
          <w:b w:val="0"/>
          <w:i w:val="0"/>
        </w:rPr>
        <w:br/>
      </w:r>
      <w:r>
        <w:rPr>
          <w:b w:val="0"/>
          <w:i w:val="0"/>
        </w:rPr>
        <w:t>Hà Nội, ngày 21 tháng 2 năm 2005</w:t>
      </w:r>
      <w:r>
        <w:rPr>
          <w:b w:val="0"/>
          <w:i w:val="0"/>
        </w:rPr>
        <w:br/>
      </w:r>
    </w:p>
    <w:p>
      <w:r>
        <w:rPr>
          <w:b/>
          <w:i w:val="0"/>
        </w:rPr>
        <w:t>QUYẾT ĐỊNH</w:t>
      </w:r>
    </w:p>
    <w:p>
      <w:r>
        <w:rPr>
          <w:b/>
          <w:i w:val="0"/>
        </w:rPr>
        <w:t xml:space="preserve">Về việc thực hiện thí điểm giải quyết công việc theo mô hình “Một cửa” tại </w:t>
      </w:r>
    </w:p>
    <w:p>
      <w:r>
        <w:rPr>
          <w:b/>
          <w:i w:val="0"/>
        </w:rPr>
        <w:t>các Cục nông nghiệp, thú y và bảo vệ thực vật</w:t>
      </w:r>
    </w:p>
    <w:p>
      <w:r>
        <w:rPr>
          <w:b w:val="0"/>
          <w:i w:val="0"/>
        </w:rPr>
        <w:t>_________________________________</w:t>
      </w:r>
    </w:p>
    <w:p>
      <w:r>
        <w:rPr>
          <w:b/>
          <w:i w:val="0"/>
        </w:rPr>
        <w:t>BỘ TRƯỞNG BỘ NÔNG NGHIỆP VÀ PHÁT TRIỂN NÔNG THÔN</w:t>
      </w:r>
    </w:p>
    <w:p>
      <w:r>
        <w:rPr>
          <w:b w:val="0"/>
          <w:i/>
        </w:rPr>
        <w:t>Căn cứ Nghị định số 86/2003/NĐ-CP ngày 18 tháng 7 năm 2003 của Chính phủ quy định chức năng, nhiệm vụ, quyền hạn và cơ cấu tổ chức của Bộ Nông nghiệp và PTNT;</w:t>
      </w:r>
    </w:p>
    <w:p>
      <w:r>
        <w:rPr>
          <w:b w:val="0"/>
          <w:i/>
        </w:rPr>
        <w:t>Căn cứ Quyết định số 136/2001/QĐ-TTg của Thủ tướng Chính phủ phê duyệt Chương trình tổng thể cải cách hành chính nhà nước giai đoạn 2001-2010;</w:t>
      </w:r>
    </w:p>
    <w:p>
      <w:r>
        <w:rPr>
          <w:b w:val="0"/>
          <w:i/>
        </w:rPr>
        <w:t>Căn cứ Kế hoạch hành động cải cách hành chính của Bộ Nông nghiệp và PTNT thời kỳ 2001 – 2005;</w:t>
      </w:r>
    </w:p>
    <w:p>
      <w:r>
        <w:rPr>
          <w:b w:val="0"/>
          <w:i/>
        </w:rPr>
        <w:t>Xét đề nghị phê duyệt đề án thí điểm giải quyết công việc theo mô hình “một cửa” của Cục Nông nghiệp (Tờ trình số 1787/TTr-NN-HCTH ngày 31 tháng 12 năm 2004), Cục Thú y (Tờ trình số 76/TTr-TY ngày 20 tháng 01 năm 2005), Cục bảo vệ thực vật (tờ trình số 1185/TTr-BVTV-MHMC ngày 31 tháng 12 năm 2004);</w:t>
      </w:r>
    </w:p>
    <w:p>
      <w:r>
        <w:rPr>
          <w:b w:val="0"/>
          <w:i/>
        </w:rPr>
        <w:t>Theo đề nghị của Ban Chỉ đạo CCHC của Bộ Nông nghiệp và PTNT và Chánh văn phòng Bộ,</w:t>
      </w:r>
    </w:p>
    <w:p>
      <w:r>
        <w:rPr>
          <w:b/>
          <w:i w:val="0"/>
        </w:rPr>
        <w:t>QUYẾT ĐỊNH</w:t>
      </w:r>
    </w:p>
    <w:p>
      <w:r>
        <w:rPr>
          <w:b/>
          <w:i w:val="0"/>
        </w:rPr>
        <w:t xml:space="preserve">Điều 1. </w:t>
      </w:r>
      <w:r>
        <w:rPr>
          <w:b w:val="0"/>
          <w:i w:val="0"/>
        </w:rPr>
        <w:t>Phê duyệt Đề án thực hiện thí điểm giải quyết công việc của tổ chức và công dân theo mô hình "một cửa" của các Cục Nông nghiệp, Thú y, Bảo vệ thực vật và tổ chức thực hiện từ ngày 01 tháng 3 năm 2005.</w:t>
      </w:r>
    </w:p>
    <w:p>
      <w:r>
        <w:rPr>
          <w:b/>
          <w:i w:val="0"/>
        </w:rPr>
        <w:t xml:space="preserve">Điều 2. </w:t>
      </w:r>
      <w:r>
        <w:rPr>
          <w:b w:val="0"/>
          <w:i w:val="0"/>
        </w:rPr>
        <w:t>Các Cục hoàn chỉnh đề án theo ý kiến kết luận của Bộ trưởng tại cuộc họp Ban Chỉ đạo CCHC của Bộ ngày 01 tháng 02 năm 2005 (Thông báo số 889 TB/BNN-VP ngày 4 tháng 02 năm 2005 của Bộ); chuẩn bị các điều kiện, phương tiện cần thiết, bố trí cán bộ có năng lực và tác phong làm việc phù hợp tại Bộ phận một cửa; tổ chức thông tin rộng rãi về các quy trình giải quyết công việc sẽ thực hiện "một cửa"; rà soát các quy định về giấy tờ, biểu mẫu trong hồ sơ giải quyết công việc theo hướng đổi mới, đơn giản hóa, rõ ràng minh bạch, niêm yết tại nơi giao dịch.</w:t>
      </w:r>
    </w:p>
    <w:p>
      <w:r>
        <w:rPr>
          <w:b w:val="0"/>
          <w:i w:val="0"/>
        </w:rPr>
        <w:t>Trong quá trình tổ chức thực hiện, Cục trưởng các cục có trách nhiệm thường xuyên sơ kết, phát hiện những khó khăn, vướng mắc báo cáo Bộ để giải quyết kịp thời.</w:t>
      </w:r>
    </w:p>
    <w:p>
      <w:r>
        <w:rPr>
          <w:b/>
          <w:i w:val="0"/>
        </w:rPr>
        <w:t xml:space="preserve">Điều 3. </w:t>
      </w:r>
      <w:r>
        <w:rPr>
          <w:b w:val="0"/>
          <w:i w:val="0"/>
        </w:rPr>
        <w:t>Ban Chỉ đạo CCHC của Bộ có trách nhiệm hướng dẫn, kiểm tra việc thực hiện của các Cục; Phối hợp với các Cục định kỳ tổ chức đánh giá, điều chỉnh, bổ sung kịp thời các vấn đề phát sinh, rút kinh nghiệm để nhân rộng. Vụ Tài chính và Ban Quản lý dự án hỗ trợ Chương trình CCHC của Bộ xem xét hỗ trợ về phương tiện, chuyên gia kỹ thuật cho các đơn vị thực hiện thí điểm.</w:t>
      </w:r>
    </w:p>
    <w:p>
      <w:r>
        <w:rPr>
          <w:b/>
          <w:i w:val="0"/>
        </w:rPr>
        <w:t xml:space="preserve">Điều 4. </w:t>
      </w:r>
      <w:r>
        <w:rPr>
          <w:b w:val="0"/>
          <w:i w:val="0"/>
        </w:rPr>
        <w:t>Các ông Chánh Văn phòng Bộ, Vụ trưởng Vụ Tổ chức cán bộ, Vụ trưởng Vụ Tài chính, trưởng ban Chỉ đạo CCHC của Bộ Nông nghiệp và PTNT; Cục trưởng các Cục Nông nghiệp, Thú Y, Bảo vệ thực vật và thủ trưởng các đơn vị có liên quan chịu trách nhiệm thi hành quyết định này./.</w:t>
      </w:r>
    </w:p>
    <w:p>
      <w:r>
        <w:rPr>
          <w:b w:val="0"/>
          <w:i w:val="0"/>
        </w:rPr>
        <w:br/>
      </w:r>
      <w:r>
        <w:rPr>
          <w:b/>
          <w:i w:val="0"/>
        </w:rPr>
        <w:br/>
      </w:r>
      <w:r>
        <w:rPr>
          <w:b/>
          <w:i w:val="0"/>
        </w:rPr>
        <w:br/>
      </w:r>
      <w:r>
        <w:rPr>
          <w:b/>
          <w:i w:val="0"/>
        </w:rPr>
        <w:t>BỘ TRƯỞNG BỘ NÔNG NGHIỆP VÀ PTNT</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i w:val="0"/>
        </w:rPr>
        <w:br/>
      </w:r>
      <w:r>
        <w:rPr>
          <w:b/>
          <w:i w:val="0"/>
        </w:rPr>
        <w:t>BỘ TRƯỞNG BỘ NÔNG NGHIỆP VÀ PTNT</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 BỘ NÔNG NGHIỆP VÀ PTNT</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