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 QÐ/TC/TCT Giảm thuế doanh thu cho cơ sở sản xuất mới thành lập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352 QĐ/TC/TCT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i w:val="0"/>
        </w:rPr>
        <w:t>GIẢM THUẾ DOANH THU CHO CƠ SỞ SẢN XUẤT MỚI THÀNH LẬP</w:t>
      </w:r>
    </w:p>
    <w:p>
      <w:pPr>
        <w:jc w:val="center"/>
      </w:pPr>
      <w:r>
        <w:rPr>
          <w:b w:val="0"/>
          <w:i w:val="0"/>
        </w:rPr>
        <w:t>BỘ TRƯỞNG BỘ TÀI CHÍNH</w:t>
      </w:r>
    </w:p>
    <w:p>
      <w:pPr>
        <w:jc w:val="both"/>
      </w:pPr>
      <w:r>
        <w:rPr>
          <w:b w:val="0"/>
          <w:i w:val="0"/>
        </w:rPr>
        <w:t>- C</w:t>
      </w:r>
      <w:r>
        <w:rPr>
          <w:b w:val="0"/>
          <w:i w:val="0"/>
        </w:rPr>
        <w:t>ă</w:t>
      </w:r>
      <w:r>
        <w:rPr>
          <w:b w:val="0"/>
          <w:i w:val="0"/>
        </w:rPr>
        <w:t xml:space="preserve">n cứ </w:t>
      </w:r>
      <w:r>
        <w:rPr>
          <w:b w:val="0"/>
          <w:i w:val="0"/>
        </w:rPr>
        <w:t>đ</w:t>
      </w:r>
      <w:r>
        <w:rPr>
          <w:b w:val="0"/>
          <w:i w:val="0"/>
        </w:rPr>
        <w:t xml:space="preserve">iểm 2 </w:t>
      </w:r>
      <w:r>
        <w:rPr>
          <w:b w:val="0"/>
          <w:i w:val="0"/>
        </w:rPr>
        <w:t>Đ</w:t>
      </w:r>
      <w:r>
        <w:rPr>
          <w:b w:val="0"/>
          <w:i w:val="0"/>
        </w:rPr>
        <w:t xml:space="preserve">iều I, Luật sửa </w:t>
      </w:r>
      <w:r>
        <w:rPr>
          <w:b w:val="0"/>
          <w:i w:val="0"/>
        </w:rPr>
        <w:t>đ</w:t>
      </w:r>
      <w:r>
        <w:rPr>
          <w:b w:val="0"/>
          <w:i w:val="0"/>
        </w:rPr>
        <w:t xml:space="preserve">ổi, bổ sung một số </w:t>
      </w:r>
      <w:r>
        <w:rPr>
          <w:b w:val="0"/>
          <w:i w:val="0"/>
        </w:rPr>
        <w:t>đ</w:t>
      </w:r>
      <w:r>
        <w:rPr>
          <w:b w:val="0"/>
          <w:i w:val="0"/>
        </w:rPr>
        <w:t xml:space="preserve">iều của Luật thuế doanh thu ; </w:t>
      </w:r>
      <w:r>
        <w:rPr>
          <w:b w:val="0"/>
          <w:i w:val="0"/>
        </w:rPr>
        <w:t>Đ</w:t>
      </w:r>
      <w:r>
        <w:rPr>
          <w:b w:val="0"/>
          <w:i w:val="0"/>
        </w:rPr>
        <w:t xml:space="preserve">iều 12 Nghị </w:t>
      </w:r>
      <w:r>
        <w:rPr>
          <w:b w:val="0"/>
          <w:i w:val="0"/>
        </w:rPr>
        <w:t>đ</w:t>
      </w:r>
      <w:r>
        <w:rPr>
          <w:b w:val="0"/>
          <w:i w:val="0"/>
        </w:rPr>
        <w:t xml:space="preserve">ịnh số 55 CP ngày 28/8/1993 của Chính phủ qui </w:t>
      </w:r>
      <w:r>
        <w:rPr>
          <w:b w:val="0"/>
          <w:i w:val="0"/>
        </w:rPr>
        <w:t>đ</w:t>
      </w:r>
      <w:r>
        <w:rPr>
          <w:b w:val="0"/>
          <w:i w:val="0"/>
        </w:rPr>
        <w:t xml:space="preserve">ịnh  chi tiết thi hành Luật  thuế doanh thu và Luật thuế sửa </w:t>
      </w:r>
      <w:r>
        <w:rPr>
          <w:b w:val="0"/>
          <w:i w:val="0"/>
        </w:rPr>
        <w:t>đ</w:t>
      </w:r>
      <w:r>
        <w:rPr>
          <w:b w:val="0"/>
          <w:i w:val="0"/>
        </w:rPr>
        <w:t xml:space="preserve">ổi , bổ sung một số </w:t>
      </w:r>
      <w:r>
        <w:rPr>
          <w:b w:val="0"/>
          <w:i w:val="0"/>
        </w:rPr>
        <w:t>đ</w:t>
      </w:r>
      <w:r>
        <w:rPr>
          <w:b w:val="0"/>
          <w:i w:val="0"/>
        </w:rPr>
        <w:t xml:space="preserve">iều  của Luật thuế doanh thu; </w:t>
      </w:r>
    </w:p>
    <w:p>
      <w:pPr>
        <w:jc w:val="both"/>
      </w:pPr>
      <w:r>
        <w:rPr>
          <w:b w:val="0"/>
          <w:i w:val="0"/>
        </w:rPr>
        <w:t>- C</w:t>
      </w:r>
      <w:r>
        <w:rPr>
          <w:b w:val="0"/>
          <w:i w:val="0"/>
        </w:rPr>
        <w:t>ă</w:t>
      </w:r>
      <w:r>
        <w:rPr>
          <w:b w:val="0"/>
          <w:i w:val="0"/>
        </w:rPr>
        <w:t xml:space="preserve">n cứ các quyết </w:t>
      </w:r>
      <w:r>
        <w:rPr>
          <w:b w:val="0"/>
          <w:i w:val="0"/>
        </w:rPr>
        <w:t>đ</w:t>
      </w:r>
      <w:r>
        <w:rPr>
          <w:b w:val="0"/>
          <w:i w:val="0"/>
        </w:rPr>
        <w:t>ịnh về thẩm quyền và thủ tục xét giảm thuế doanh thu tại Thông t</w:t>
      </w:r>
      <w:r>
        <w:rPr>
          <w:b w:val="0"/>
          <w:i w:val="0"/>
        </w:rPr>
        <w:t>ư</w:t>
      </w:r>
      <w:r>
        <w:rPr>
          <w:b w:val="0"/>
          <w:i w:val="0"/>
        </w:rPr>
        <w:t xml:space="preserve"> số 73A TC/TCT ngày 30/8/1993 của Bộ Tài chính  h</w:t>
      </w:r>
      <w:r>
        <w:rPr>
          <w:b w:val="0"/>
          <w:i w:val="0"/>
        </w:rPr>
        <w:t>ư</w:t>
      </w:r>
      <w:r>
        <w:rPr>
          <w:b w:val="0"/>
          <w:i w:val="0"/>
        </w:rPr>
        <w:t xml:space="preserve">ớng dẫn thi hành Nghị </w:t>
      </w:r>
      <w:r>
        <w:rPr>
          <w:b w:val="0"/>
          <w:i w:val="0"/>
        </w:rPr>
        <w:t>đ</w:t>
      </w:r>
      <w:r>
        <w:rPr>
          <w:b w:val="0"/>
          <w:i w:val="0"/>
        </w:rPr>
        <w:t>ịnh số 55/CP của Chính phủ;</w:t>
      </w:r>
    </w:p>
    <w:p>
      <w:pPr>
        <w:jc w:val="both"/>
      </w:pPr>
      <w:r>
        <w:rPr>
          <w:b w:val="0"/>
          <w:i w:val="0"/>
        </w:rPr>
        <w:t xml:space="preserve"> - Xét hồ s</w:t>
      </w:r>
      <w:r>
        <w:rPr>
          <w:b w:val="0"/>
          <w:i w:val="0"/>
        </w:rPr>
        <w:t>ơ</w:t>
      </w:r>
      <w:r>
        <w:rPr>
          <w:b w:val="0"/>
          <w:i w:val="0"/>
        </w:rPr>
        <w:t xml:space="preserve"> xin giảm thuế doanh thu của Công ty trách nhiệm hữu hạn sản phẩm giấy nhôm TOYO (VIET); theo </w:t>
      </w:r>
      <w:r>
        <w:rPr>
          <w:b w:val="0"/>
          <w:i w:val="0"/>
        </w:rPr>
        <w:t>đ</w:t>
      </w:r>
      <w:r>
        <w:rPr>
          <w:b w:val="0"/>
          <w:i w:val="0"/>
        </w:rPr>
        <w:t>ề nghị giảm thuế doanh thu cho c</w:t>
      </w:r>
      <w:r>
        <w:rPr>
          <w:b w:val="0"/>
          <w:i w:val="0"/>
        </w:rPr>
        <w:t>ơ</w:t>
      </w:r>
      <w:r>
        <w:rPr>
          <w:b w:val="0"/>
          <w:i w:val="0"/>
        </w:rPr>
        <w:t xml:space="preserve"> sở sản xuất mới thành lập tại Công v</w:t>
      </w:r>
      <w:r>
        <w:rPr>
          <w:b w:val="0"/>
          <w:i w:val="0"/>
        </w:rPr>
        <w:t>ă</w:t>
      </w:r>
      <w:r>
        <w:rPr>
          <w:b w:val="0"/>
          <w:i w:val="0"/>
        </w:rPr>
        <w:t xml:space="preserve">n số 136/CT-Ng.V ngày 11/4/1995 của Cục thuế thành phố Hồ Chí Minh. </w:t>
      </w:r>
    </w:p>
    <w:p>
      <w:pPr>
        <w:jc w:val="center"/>
      </w:pPr>
      <w:r>
        <w:rPr>
          <w:b w:val="0"/>
          <w:i w:val="0"/>
        </w:rPr>
        <w:t>QUYẾT ĐỊNH</w:t>
      </w:r>
    </w:p>
    <w:p>
      <w:pPr>
        <w:jc w:val="both"/>
      </w:pPr>
      <w:r>
        <w:rPr>
          <w:b w:val="0"/>
          <w:i w:val="0"/>
        </w:rPr>
        <w:t>Đ</w:t>
      </w:r>
      <w:r>
        <w:rPr>
          <w:b w:val="0"/>
          <w:i w:val="0"/>
        </w:rPr>
        <w:t>iều 1</w:t>
      </w:r>
      <w:r>
        <w:rPr>
          <w:b w:val="0"/>
          <w:i w:val="0"/>
        </w:rPr>
        <w:t>: Giảm 50% số thuế doanh thu phải nộp NSNN đối với hoạt động sản xuất các loại giấy nhôm và lõi giấy của Công ty trách nhiệm hữu hạn sản phẩm giấy nhôm TOYO (VIET) trong thời gian một năm kể từ ngày 1/5/1994 đến hết tháng 4 năm 1995.</w:t>
      </w:r>
    </w:p>
    <w:p>
      <w:pPr>
        <w:jc w:val="both"/>
      </w:pPr>
      <w:r>
        <w:rPr>
          <w:b w:val="0"/>
          <w:i w:val="0"/>
        </w:rPr>
        <w:t>Đ</w:t>
      </w:r>
      <w:r>
        <w:rPr>
          <w:b w:val="0"/>
          <w:i w:val="0"/>
        </w:rPr>
        <w:t>iều 2</w:t>
      </w:r>
      <w:r>
        <w:rPr>
          <w:b w:val="0"/>
          <w:i w:val="0"/>
        </w:rPr>
        <w:t>: Công ty trách nhiệm hữu hạn sản phẩm giấy nhôm TOYO (VIET) có trách nhiệm kê khai nộp thuế doanh thu theo qui định tại điều 1 Quyết định này, thực hiện nộp kịp thời, đầy đủ các khoản phải nộp  về thuế và thu khác theo chế độ hiện hành vào ngân sách Nhà nước.</w:t>
      </w:r>
    </w:p>
    <w:p>
      <w:pPr>
        <w:jc w:val="both"/>
      </w:pPr>
      <w:r>
        <w:rPr>
          <w:b w:val="0"/>
          <w:i w:val="0"/>
        </w:rPr>
        <w:t>Đ</w:t>
      </w:r>
      <w:r>
        <w:rPr>
          <w:b w:val="0"/>
          <w:i w:val="0"/>
        </w:rPr>
        <w:t>iều 3</w:t>
      </w:r>
      <w:r>
        <w:rPr>
          <w:b w:val="0"/>
          <w:i w:val="0"/>
        </w:rPr>
        <w:t>: Quyết định này có hiệu lực thi hành từ ngày ký. Tổng cục trưởng Tổng cục thuế, Cục trưởng Cục thuế thành phố Hồ Chí minh Công ty trách nhiệm hữu hạn sản phẩm giấy nhôm TOYO (VIET) có chịu trách nhiệm thực hiện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Công ty TNHH TOYO (VIET)</w:t>
            </w:r>
            <w:r>
              <w:rPr>
                <w:b w:val="0"/>
                <w:i w:val="0"/>
              </w:rPr>
              <w:br/>
            </w:r>
            <w:r>
              <w:rPr>
                <w:b w:val="0"/>
                <w:i w:val="0"/>
              </w:rPr>
              <w:t>- UBNN về HTĐT</w:t>
            </w:r>
            <w:r>
              <w:rPr>
                <w:b w:val="0"/>
                <w:i w:val="0"/>
              </w:rPr>
              <w:br/>
            </w:r>
            <w:r>
              <w:rPr>
                <w:b w:val="0"/>
                <w:i w:val="0"/>
              </w:rPr>
              <w:t>- Sở TC vật giá thành phố Hồ Chí Minh</w:t>
            </w:r>
            <w:r>
              <w:rPr>
                <w:b w:val="0"/>
                <w:i w:val="0"/>
              </w:rPr>
              <w:br/>
            </w:r>
            <w:r>
              <w:rPr>
                <w:b w:val="0"/>
                <w:i w:val="0"/>
              </w:rPr>
              <w:t>- Cục thuế thành phố Hồ Chí Minh</w:t>
            </w:r>
            <w:r>
              <w:rPr>
                <w:b w:val="0"/>
                <w:i w:val="0"/>
              </w:rPr>
              <w:br/>
            </w:r>
            <w:r>
              <w:rPr>
                <w:b w:val="0"/>
                <w:i w:val="0"/>
              </w:rPr>
              <w:t>- Lưu VP, TCT (HC, NV5)</w:t>
            </w:r>
          </w:p>
        </w:tc>
        <w:tc>
          <w:tcPr>
            <w:tcW w:type="dxa" w:w="4320"/>
          </w:tcPr>
          <w:p>
            <w:r>
              <w:rPr>
                <w:b w:val="0"/>
                <w:i w:val="0"/>
              </w:rPr>
              <w:br/>
            </w:r>
            <w:r>
              <w:rPr>
                <w:b w:val="0"/>
                <w:i w:val="0"/>
              </w:rPr>
              <w:t>KT. Bộ trưởng Bộ tài chính</w:t>
            </w:r>
            <w:r>
              <w:rPr>
                <w:b w:val="0"/>
                <w:i w:val="0"/>
              </w:rPr>
              <w:br/>
            </w:r>
            <w:r>
              <w:rPr>
                <w:b/>
                <w:i w:val="0"/>
              </w:rPr>
              <w:t>Thứ trưởng</w:t>
            </w:r>
            <w:r>
              <w:rPr>
                <w:b w:val="0"/>
                <w:i w:val="0"/>
              </w:rPr>
              <w:br/>
            </w:r>
            <w:r>
              <w:rPr>
                <w:b w:val="0"/>
                <w:i/>
              </w:rPr>
              <w:t>(Đã ký</w:t>
            </w:r>
            <w:r>
              <w:rPr>
                <w:b w:val="0"/>
                <w:i w:val="0"/>
              </w:rPr>
              <w:t>)</w:t>
            </w:r>
            <w:r>
              <w:rPr>
                <w:b w:val="0"/>
                <w:i w:val="0"/>
              </w:rPr>
              <w:br/>
            </w:r>
            <w:r>
              <w:rPr>
                <w:b/>
                <w:i/>
              </w:rPr>
              <w:t>Vũ Mộng Giao</w:t>
            </w:r>
            <w:r>
              <w:rPr>
                <w:b w:val="0"/>
                <w:i w:val="0"/>
              </w:rPr>
              <w:br/>
            </w:r>
          </w:p>
        </w:tc>
      </w:tr>
    </w:tbl>
    <w:p>
      <w:r>
        <w:rPr>
          <w:b/>
          <w:i/>
        </w:rPr>
        <w:t>Văn bản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