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353 QÐ/TC/TCT duyệt dự án đầu tư xây dựng công trình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 353 QĐ/TC/TCT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28 tháng 4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DUYỆT DỰ ÁN ĐẦU TƯ XÂY DỰNG CÔNG TRÌNH</w:t>
      </w:r>
      <w:r>
        <w:rPr>
          <w:b w:val="0"/>
          <w:i w:val="0"/>
        </w:rPr>
        <w:br/>
      </w:r>
      <w:r>
        <w:rPr>
          <w:b w:val="0"/>
          <w:i w:val="0"/>
        </w:rPr>
        <w:t>BỘ TRƯỞNG BỘ TÀI CHÍNH</w:t>
      </w:r>
      <w:r>
        <w:rPr>
          <w:b w:val="0"/>
          <w:i w:val="0"/>
        </w:rPr>
        <w:br/>
      </w:r>
      <w:r>
        <w:rPr>
          <w:b w:val="0"/>
          <w:i w:val="0"/>
        </w:rPr>
        <w:t>- Căn cứ Nghị định số 178/CP ngày 28/10/1994 của Chính phủ quy định nhiệm vụ , quyền hạn và tổ chức bộ máy Bộ Tài chính;</w:t>
      </w:r>
      <w:r>
        <w:rPr>
          <w:b w:val="0"/>
          <w:i w:val="0"/>
        </w:rPr>
        <w:br/>
      </w:r>
      <w:r>
        <w:rPr>
          <w:b w:val="0"/>
          <w:i w:val="0"/>
        </w:rPr>
        <w:t>- Căn cứ Nghị định số 177/CP ngày 20/10/1994 của Chính Phủ về việc ban hành Điều lệ quản lý đầu tư và xây dựng.</w:t>
      </w:r>
      <w:r>
        <w:rPr>
          <w:b w:val="0"/>
          <w:i w:val="0"/>
        </w:rPr>
        <w:br/>
      </w:r>
      <w:r>
        <w:rPr>
          <w:b w:val="0"/>
          <w:i w:val="0"/>
        </w:rPr>
        <w:t>- Căn cứ Quyết định số 565 TC/QĐ/TCT ngày 21/11/1990 của Bộ trưởng Bộ Tài chính về việc duyệt chủ trương đầu tư xây dựng cơ bản cho hệ thống thuế Nhà nước;</w:t>
      </w:r>
      <w:r>
        <w:rPr>
          <w:b w:val="0"/>
          <w:i w:val="0"/>
        </w:rPr>
        <w:br/>
      </w:r>
      <w:r>
        <w:rPr>
          <w:b w:val="0"/>
          <w:i w:val="0"/>
        </w:rPr>
        <w:t>Theo đề nghị của đồng chí Tổng cục trưởng Tổng cục Thuế và đồng chí Vụ trưởng Vụ Tài vụ quản trị Bộ Tài chính;</w:t>
      </w:r>
      <w:r>
        <w:rPr>
          <w:b w:val="0"/>
          <w:i w:val="0"/>
        </w:rPr>
        <w:br/>
      </w:r>
      <w:r>
        <w:rPr>
          <w:b/>
          <w:i w:val="0"/>
        </w:rPr>
        <w:t>QUYẾT ĐỊNH</w:t>
      </w:r>
      <w:r>
        <w:rPr>
          <w:b w:val="0"/>
          <w:i w:val="0"/>
        </w:rPr>
        <w:br/>
      </w:r>
      <w:r>
        <w:rPr>
          <w:b/>
          <w:i w:val="0"/>
        </w:rPr>
        <w:t>Điều 1</w:t>
      </w:r>
      <w:r>
        <w:rPr>
          <w:b w:val="0"/>
          <w:i w:val="0"/>
        </w:rPr>
        <w:t>: Duyết dự án đầu tư xây dựng mở rộng công trình nhà làm việc Cục thuế tỉnh Bình Thuận do Công ty thiết kế - tư vấn xây dựng cơ bản Bình Thuận lập ngày 15/3/1995.</w:t>
      </w:r>
      <w:r>
        <w:rPr>
          <w:b w:val="0"/>
          <w:i w:val="0"/>
        </w:rPr>
        <w:br/>
      </w:r>
      <w:r>
        <w:rPr>
          <w:b w:val="0"/>
          <w:i w:val="0"/>
        </w:rPr>
        <w:t>1. Tên công trình: Nhà làm việc Cục thuế tỉnh Bình Thuận.</w:t>
      </w:r>
      <w:r>
        <w:rPr>
          <w:b w:val="0"/>
          <w:i w:val="0"/>
        </w:rPr>
        <w:br/>
      </w:r>
      <w:r>
        <w:rPr>
          <w:b w:val="0"/>
          <w:i w:val="0"/>
        </w:rPr>
        <w:t>2. Địa điểm xây dựng: Công trình xây dựng trên khu đất của Sở Tài chính tỉnh Bình Thuận ở đại lộ Nguyễn Tất Thành, thị xã Phan Thiết, Đông giáp đất Kho bạc tỉnh, Tây giáp khu đất nhà biểu diễn tỉnh, Nam giáp nhà hiện trạng, Bắc giáp khu dân cư.</w:t>
      </w:r>
      <w:r>
        <w:rPr>
          <w:b w:val="0"/>
          <w:i w:val="0"/>
        </w:rPr>
        <w:br/>
      </w:r>
      <w:r>
        <w:rPr>
          <w:b w:val="0"/>
          <w:i w:val="0"/>
        </w:rPr>
        <w:t>3. Địa điểm và qui mô công trình (phương án 1):</w:t>
      </w:r>
      <w:r>
        <w:rPr>
          <w:b w:val="0"/>
          <w:i w:val="0"/>
        </w:rPr>
        <w:br/>
      </w:r>
      <w:r>
        <w:rPr>
          <w:b w:val="0"/>
          <w:i w:val="0"/>
        </w:rPr>
        <w:t>a. Mặt bằng công trình:</w:t>
      </w:r>
      <w:r>
        <w:rPr>
          <w:b w:val="0"/>
          <w:i w:val="0"/>
        </w:rPr>
        <w:br/>
      </w:r>
      <w:r>
        <w:rPr>
          <w:b w:val="0"/>
          <w:i w:val="0"/>
        </w:rPr>
        <w:t>- Mặt bằng hình chữ nhật, dài 35m, rộng 9,3m, nhịp gian 6m, bước gian 4m.</w:t>
      </w:r>
      <w:r>
        <w:rPr>
          <w:b w:val="0"/>
          <w:i w:val="0"/>
        </w:rPr>
        <w:br/>
      </w:r>
      <w:r>
        <w:rPr>
          <w:b w:val="0"/>
          <w:i w:val="0"/>
        </w:rPr>
        <w:t>- Hành lang bên rộng 1,5m; hành lang nối với nhà hiện trạng dài 12,7m, rộng 2m.</w:t>
      </w:r>
      <w:r>
        <w:rPr>
          <w:b w:val="0"/>
          <w:i w:val="0"/>
        </w:rPr>
        <w:br/>
      </w:r>
      <w:r>
        <w:rPr>
          <w:b w:val="0"/>
          <w:i w:val="0"/>
        </w:rPr>
        <w:t>- Công trình cao 2 tầng, tầng 1 cao 4m, tầng 2 cao 3,3m; Riêng hội trường cao 4,5m.</w:t>
      </w:r>
      <w:r>
        <w:rPr>
          <w:b w:val="0"/>
          <w:i w:val="0"/>
        </w:rPr>
        <w:br/>
      </w:r>
      <w:r>
        <w:rPr>
          <w:b w:val="0"/>
          <w:i w:val="0"/>
        </w:rPr>
        <w:t>b. Kết cấu công trình:</w:t>
      </w:r>
      <w:r>
        <w:rPr>
          <w:b w:val="0"/>
          <w:i w:val="0"/>
        </w:rPr>
        <w:br/>
      </w:r>
      <w:r>
        <w:rPr>
          <w:b w:val="0"/>
          <w:i w:val="0"/>
        </w:rPr>
        <w:t>- Kết cấu chịu lực chính: khung bê tông cốt thép</w:t>
      </w:r>
      <w:r>
        <w:rPr>
          <w:b w:val="0"/>
          <w:i w:val="0"/>
        </w:rPr>
        <w:br/>
      </w:r>
      <w:r>
        <w:rPr>
          <w:b w:val="0"/>
          <w:i w:val="0"/>
        </w:rPr>
        <w:t>- Sàn bê tông cốt thép</w:t>
      </w:r>
      <w:r>
        <w:rPr>
          <w:b w:val="0"/>
          <w:i w:val="0"/>
        </w:rPr>
        <w:br/>
      </w:r>
      <w:r>
        <w:rPr>
          <w:b w:val="0"/>
          <w:i w:val="0"/>
        </w:rPr>
        <w:t>- Mái tôn</w:t>
      </w:r>
      <w:r>
        <w:rPr>
          <w:b w:val="0"/>
          <w:i w:val="0"/>
        </w:rPr>
        <w:br/>
      </w:r>
      <w:r>
        <w:rPr>
          <w:b w:val="0"/>
          <w:i w:val="0"/>
        </w:rPr>
        <w:t>- Móng bê tông cốt thép</w:t>
      </w:r>
      <w:r>
        <w:rPr>
          <w:b w:val="0"/>
          <w:i w:val="0"/>
        </w:rPr>
        <w:br/>
      </w:r>
      <w:r>
        <w:rPr>
          <w:b w:val="0"/>
          <w:i w:val="0"/>
        </w:rPr>
        <w:t>c. Thiết kế hoàn thiện</w:t>
      </w:r>
      <w:r>
        <w:rPr>
          <w:b w:val="0"/>
          <w:i w:val="0"/>
        </w:rPr>
        <w:br/>
      </w:r>
      <w:r>
        <w:rPr>
          <w:b w:val="0"/>
          <w:i w:val="0"/>
        </w:rPr>
        <w:t>- Mặt ngoài: Quét vôi ve</w:t>
      </w:r>
      <w:r>
        <w:rPr>
          <w:b w:val="0"/>
          <w:i w:val="0"/>
        </w:rPr>
        <w:br/>
      </w:r>
      <w:r>
        <w:rPr>
          <w:b w:val="0"/>
          <w:i w:val="0"/>
        </w:rPr>
        <w:t>- Mặt trong: nền - sàn lát gạch xi măng hoa nội, tường - trần quét vôi ve cửa gỗ. Riêng phòng hội trường hoàn thiện ở mưc: chân tường ốp gỗ lambri ngang bậu cửa sổ, phần tường còn lại sơn vôi màu sắc thích hợp.</w:t>
      </w:r>
      <w:r>
        <w:rPr>
          <w:b w:val="0"/>
          <w:i w:val="0"/>
        </w:rPr>
        <w:br/>
      </w:r>
      <w:r>
        <w:rPr>
          <w:b w:val="0"/>
          <w:i w:val="0"/>
        </w:rPr>
        <w:t>d. Thiết kế điện:</w:t>
      </w:r>
      <w:r>
        <w:rPr>
          <w:b w:val="0"/>
          <w:i w:val="0"/>
        </w:rPr>
        <w:br/>
      </w:r>
      <w:r>
        <w:rPr>
          <w:b w:val="0"/>
          <w:i w:val="0"/>
        </w:rPr>
        <w:t>- Nguồn cấp điện: Nguồn điện sẵn có của cơ quan</w:t>
      </w:r>
      <w:r>
        <w:rPr>
          <w:b w:val="0"/>
          <w:i w:val="0"/>
        </w:rPr>
        <w:br/>
      </w:r>
      <w:r>
        <w:rPr>
          <w:b w:val="0"/>
          <w:i w:val="0"/>
        </w:rPr>
        <w:t>- Thiết bị chiếu sáng: đèn ống</w:t>
      </w:r>
      <w:r>
        <w:rPr>
          <w:b w:val="0"/>
          <w:i w:val="0"/>
        </w:rPr>
        <w:br/>
      </w:r>
      <w:r>
        <w:rPr>
          <w:b w:val="0"/>
          <w:i w:val="0"/>
        </w:rPr>
        <w:t>- Thiết bị thông gió: quạt trần</w:t>
      </w:r>
      <w:r>
        <w:rPr>
          <w:b w:val="0"/>
          <w:i w:val="0"/>
        </w:rPr>
        <w:br/>
      </w:r>
      <w:r>
        <w:rPr>
          <w:b w:val="0"/>
          <w:i w:val="0"/>
        </w:rPr>
        <w:t>đ. Thiết kế nước:</w:t>
      </w:r>
      <w:r>
        <w:rPr>
          <w:b w:val="0"/>
          <w:i w:val="0"/>
        </w:rPr>
        <w:br/>
      </w:r>
      <w:r>
        <w:rPr>
          <w:b w:val="0"/>
          <w:i w:val="0"/>
        </w:rPr>
        <w:t>- Nguồn cấp nước: Nguồn nước sẵn có của cơ quan; giải pháp cấp nước, cấp nước sinh hoạt và phòng hoả qua bể nước trên mái.</w:t>
      </w:r>
      <w:r>
        <w:rPr>
          <w:b w:val="0"/>
          <w:i w:val="0"/>
        </w:rPr>
        <w:br/>
      </w:r>
      <w:r>
        <w:rPr>
          <w:b w:val="0"/>
          <w:i w:val="0"/>
        </w:rPr>
        <w:t>- Thiết bị vệ sinh: Xí xổm, tiểu xây máng.</w:t>
      </w:r>
      <w:r>
        <w:rPr>
          <w:b w:val="0"/>
          <w:i w:val="0"/>
        </w:rPr>
        <w:br/>
      </w:r>
      <w:r>
        <w:rPr>
          <w:b w:val="0"/>
          <w:i w:val="0"/>
        </w:rPr>
        <w:t>- Giải pháp xử lý thoát nước khu vệ sinh: thoát nước qua bể tự hoại ra hệ thống thoát của khu cơ quan.</w:t>
      </w:r>
      <w:r>
        <w:rPr>
          <w:b w:val="0"/>
          <w:i w:val="0"/>
        </w:rPr>
        <w:br/>
      </w:r>
      <w:r>
        <w:rPr>
          <w:b w:val="0"/>
          <w:i w:val="0"/>
        </w:rPr>
        <w:t>e. Cấp công trình: cấp 2; bậc chịu lửa: bậc 2</w:t>
      </w:r>
      <w:r>
        <w:rPr>
          <w:b w:val="0"/>
          <w:i w:val="0"/>
        </w:rPr>
        <w:br/>
      </w:r>
      <w:r>
        <w:rPr>
          <w:b w:val="0"/>
          <w:i w:val="0"/>
        </w:rPr>
        <w:t>g. Quy mô công trình:</w:t>
      </w:r>
      <w:r>
        <w:rPr>
          <w:b w:val="0"/>
          <w:i w:val="0"/>
        </w:rPr>
        <w:br/>
      </w:r>
      <w:r>
        <w:rPr>
          <w:b w:val="0"/>
          <w:i w:val="0"/>
        </w:rPr>
        <w:t>- Diện tích xây dựng: 306 m2</w:t>
      </w:r>
      <w:r>
        <w:rPr>
          <w:b w:val="0"/>
          <w:i w:val="0"/>
        </w:rPr>
        <w:br/>
      </w:r>
      <w:r>
        <w:rPr>
          <w:b w:val="0"/>
          <w:i w:val="0"/>
        </w:rPr>
        <w:t>- Diện tích sàn: 611 m2</w:t>
      </w:r>
      <w:r>
        <w:rPr>
          <w:b w:val="0"/>
          <w:i w:val="0"/>
        </w:rPr>
        <w:br/>
      </w:r>
      <w:r>
        <w:rPr>
          <w:b w:val="0"/>
          <w:i w:val="0"/>
        </w:rPr>
        <w:t>- Diện tích sử dụng: 567 m2</w:t>
      </w:r>
      <w:r>
        <w:rPr>
          <w:b w:val="0"/>
          <w:i w:val="0"/>
        </w:rPr>
        <w:br/>
      </w:r>
      <w:r>
        <w:rPr>
          <w:b w:val="0"/>
          <w:i w:val="0"/>
        </w:rPr>
        <w:t>- Diện tích làm việc: 300 m2</w:t>
      </w:r>
      <w:r>
        <w:rPr>
          <w:b w:val="0"/>
          <w:i w:val="0"/>
        </w:rPr>
        <w:br/>
      </w:r>
      <w:r>
        <w:rPr>
          <w:b w:val="0"/>
          <w:i w:val="0"/>
        </w:rPr>
        <w:t>Hệ số sử dụng mặt bằng: 567</w:t>
      </w:r>
      <w:r>
        <w:rPr>
          <w:b w:val="0"/>
          <w:i w:val="0"/>
        </w:rPr>
        <w:br/>
      </w:r>
      <w:r>
        <w:rPr>
          <w:b w:val="0"/>
          <w:i w:val="0"/>
        </w:rPr>
        <w:t>K = -------- = 0.93</w:t>
      </w:r>
      <w:r>
        <w:rPr>
          <w:b w:val="0"/>
          <w:i w:val="0"/>
        </w:rPr>
        <w:br/>
      </w:r>
      <w:r>
        <w:rPr>
          <w:b w:val="0"/>
          <w:i w:val="0"/>
        </w:rPr>
        <w:t>611</w:t>
      </w:r>
      <w:r>
        <w:rPr>
          <w:b w:val="0"/>
          <w:i w:val="0"/>
        </w:rPr>
        <w:br/>
      </w:r>
      <w:r>
        <w:rPr>
          <w:b w:val="0"/>
          <w:i w:val="0"/>
        </w:rPr>
        <w:t>h. Ghi chú:</w:t>
      </w:r>
      <w:r>
        <w:rPr>
          <w:b w:val="0"/>
          <w:i w:val="0"/>
        </w:rPr>
        <w:br/>
      </w:r>
      <w:r>
        <w:rPr>
          <w:b w:val="0"/>
          <w:i w:val="0"/>
        </w:rPr>
        <w:t>- Cốt nền, sàn của nhà xây dựng thêm và nhà hiện trạng phải bằng nhau.</w:t>
      </w:r>
      <w:r>
        <w:rPr>
          <w:b w:val="0"/>
          <w:i w:val="0"/>
        </w:rPr>
        <w:br/>
      </w:r>
      <w:r>
        <w:rPr>
          <w:b w:val="0"/>
          <w:i w:val="0"/>
        </w:rPr>
        <w:t>- Kiến trúc mặt đứng phải phù hợp với nhà hiện trạng.</w:t>
      </w:r>
      <w:r>
        <w:rPr>
          <w:b w:val="0"/>
          <w:i w:val="0"/>
        </w:rPr>
        <w:br/>
      </w:r>
      <w:r>
        <w:rPr>
          <w:b w:val="0"/>
          <w:i w:val="0"/>
        </w:rPr>
        <w:t>- Cắt bỏ 1 gian (bước gian 4m) trên cả 2 tầng.</w:t>
      </w:r>
      <w:r>
        <w:rPr>
          <w:b w:val="0"/>
          <w:i w:val="0"/>
        </w:rPr>
        <w:br/>
      </w:r>
      <w:r>
        <w:rPr>
          <w:b w:val="0"/>
          <w:i w:val="0"/>
        </w:rPr>
        <w:t>- Chuyển khu vệ sinh sang đầu hồi hướng tây.</w:t>
      </w:r>
      <w:r>
        <w:rPr>
          <w:b w:val="0"/>
          <w:i w:val="0"/>
        </w:rPr>
        <w:br/>
      </w:r>
      <w:r>
        <w:rPr>
          <w:b w:val="0"/>
          <w:i w:val="0"/>
        </w:rPr>
        <w:t>- Chuyển tường mặt trước phòng kho ra bằng tường hội trường.</w:t>
      </w:r>
      <w:r>
        <w:rPr>
          <w:b w:val="0"/>
          <w:i w:val="0"/>
        </w:rPr>
        <w:br/>
      </w:r>
      <w:r>
        <w:rPr>
          <w:b w:val="0"/>
          <w:i w:val="0"/>
        </w:rPr>
        <w:t>4. Vốn đầu tư:</w:t>
      </w:r>
      <w:r>
        <w:rPr>
          <w:b w:val="0"/>
          <w:i w:val="0"/>
        </w:rPr>
        <w:br/>
      </w:r>
      <w:r>
        <w:rPr>
          <w:b w:val="0"/>
          <w:i w:val="0"/>
        </w:rPr>
        <w:t>- Hình thức đầu tư: xây dựng mới</w:t>
      </w:r>
      <w:r>
        <w:rPr>
          <w:b w:val="0"/>
          <w:i w:val="0"/>
        </w:rPr>
        <w:br/>
      </w:r>
      <w:r>
        <w:rPr>
          <w:b w:val="0"/>
          <w:i w:val="0"/>
        </w:rPr>
        <w:t>- Nguồn vốn đầu tư: vốn ngân sách Nhà nước .</w:t>
      </w:r>
      <w:r>
        <w:rPr>
          <w:b w:val="0"/>
          <w:i w:val="0"/>
        </w:rPr>
        <w:br/>
      </w:r>
      <w:r>
        <w:rPr>
          <w:b w:val="0"/>
          <w:i w:val="0"/>
        </w:rPr>
        <w:t>- Tổng mức đầu tư: 864.846.000đ</w:t>
      </w:r>
      <w:r>
        <w:rPr>
          <w:b w:val="0"/>
          <w:i w:val="0"/>
        </w:rPr>
        <w:br/>
      </w:r>
      <w:r>
        <w:rPr>
          <w:b w:val="0"/>
          <w:i w:val="0"/>
        </w:rPr>
        <w:t>Trong đó:</w:t>
      </w:r>
      <w:r>
        <w:rPr>
          <w:b w:val="0"/>
          <w:i w:val="0"/>
        </w:rPr>
        <w:br/>
      </w:r>
      <w:r>
        <w:rPr>
          <w:b w:val="0"/>
          <w:i w:val="0"/>
        </w:rPr>
        <w:t>+ Xây lắp, điện, nước: 611 m2 x 1.200.000đ/m2 = 733.200.000đ</w:t>
      </w:r>
      <w:r>
        <w:rPr>
          <w:b w:val="0"/>
          <w:i w:val="0"/>
        </w:rPr>
        <w:br/>
      </w:r>
      <w:r>
        <w:rPr>
          <w:b w:val="0"/>
          <w:i w:val="0"/>
        </w:rPr>
        <w:t>+ Kiến thiết cơ bản khác: 5% x 733.200.000đ = 36.660.000đ</w:t>
      </w:r>
      <w:r>
        <w:rPr>
          <w:b w:val="0"/>
          <w:i w:val="0"/>
        </w:rPr>
        <w:br/>
      </w:r>
      <w:r>
        <w:rPr>
          <w:b w:val="0"/>
          <w:i w:val="0"/>
        </w:rPr>
        <w:t>+ Chi phí dự phòng: 10% x 769.860.000đ = 76.986.000đ</w:t>
      </w:r>
      <w:r>
        <w:rPr>
          <w:b w:val="0"/>
          <w:i w:val="0"/>
        </w:rPr>
        <w:br/>
      </w:r>
      <w:r>
        <w:rPr>
          <w:b w:val="0"/>
          <w:i w:val="0"/>
        </w:rPr>
        <w:t>5. Tổ chức quản lý thực hiện dự án đầu tư:</w:t>
      </w:r>
      <w:r>
        <w:rPr>
          <w:b w:val="0"/>
          <w:i w:val="0"/>
        </w:rPr>
        <w:br/>
      </w:r>
      <w:r>
        <w:rPr>
          <w:b w:val="0"/>
          <w:i w:val="0"/>
        </w:rPr>
        <w:t>- Cấp quyết định đầu tư: Bộ Tài chính</w:t>
      </w:r>
      <w:r>
        <w:rPr>
          <w:b w:val="0"/>
          <w:i w:val="0"/>
        </w:rPr>
        <w:br/>
      </w:r>
      <w:r>
        <w:rPr>
          <w:b w:val="0"/>
          <w:i w:val="0"/>
        </w:rPr>
        <w:t>- Chủ đầu tư: Cục thuế tỉnh Bình Thuận</w:t>
      </w:r>
      <w:r>
        <w:rPr>
          <w:b w:val="0"/>
          <w:i w:val="0"/>
        </w:rPr>
        <w:br/>
      </w:r>
      <w:r>
        <w:rPr>
          <w:b w:val="0"/>
          <w:i w:val="0"/>
        </w:rPr>
        <w:t>- Hình thức quản lý thực hiện dự án: chủ đầu tư trực tiếp quản lý thực hiện dự án</w:t>
      </w:r>
      <w:r>
        <w:rPr>
          <w:b w:val="0"/>
          <w:i w:val="0"/>
        </w:rPr>
        <w:br/>
      </w:r>
      <w:r>
        <w:rPr>
          <w:b w:val="0"/>
          <w:i w:val="0"/>
        </w:rPr>
        <w:t>- Phương thức thực hiện đầu tư: Đấu thầu hoặc chọn thầu các đơn vị có đủ tư cách pháp nhân về khảo sát, thiết kế và thi công công trình cùng cấp theo qui định của Nhà nước .</w:t>
      </w:r>
      <w:r>
        <w:rPr>
          <w:b w:val="0"/>
          <w:i w:val="0"/>
        </w:rPr>
        <w:br/>
      </w:r>
      <w:r>
        <w:rPr>
          <w:b w:val="0"/>
          <w:i w:val="0"/>
        </w:rPr>
        <w:t>- Thời gian thực hiện đầu tư:</w:t>
      </w:r>
      <w:r>
        <w:rPr>
          <w:b w:val="0"/>
          <w:i w:val="0"/>
        </w:rPr>
        <w:br/>
      </w:r>
      <w:r>
        <w:rPr>
          <w:b w:val="0"/>
          <w:i w:val="0"/>
        </w:rPr>
        <w:t>+ Thời gian hoàn thành thiết kế kỹ thuật thi công: tháng 5/1995</w:t>
      </w:r>
      <w:r>
        <w:rPr>
          <w:b w:val="0"/>
          <w:i w:val="0"/>
        </w:rPr>
        <w:br/>
      </w:r>
      <w:r>
        <w:rPr>
          <w:b w:val="0"/>
          <w:i w:val="0"/>
        </w:rPr>
        <w:t>+ Thời gian thi công hoàn thành đưa dự án vào sử dụng: Trong năm 1995</w:t>
      </w:r>
      <w:r>
        <w:rPr>
          <w:b w:val="0"/>
          <w:i w:val="0"/>
        </w:rPr>
        <w:br/>
      </w:r>
      <w:r>
        <w:rPr>
          <w:b/>
          <w:i w:val="0"/>
        </w:rPr>
        <w:t>Điều 2</w:t>
      </w:r>
      <w:r>
        <w:rPr>
          <w:b w:val="0"/>
          <w:i w:val="0"/>
        </w:rPr>
        <w:t>: Quyết định này có hiệu lực kể từ ngày ký. Các đồng chí: Vụ trưởng Vụ Tài vụ quản trị, Chánh văn phòng Bộ Tài chính, Tổng cục trưởng Tổng cục thuế, Cục trưởng Cục thuế tỉnh Bình Thuận chịu trách nhiệm thi hành Quyết định này ./.</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UBKHNN, Bộ XD</w:t>
      </w:r>
      <w:r>
        <w:rPr>
          <w:b w:val="0"/>
          <w:i w:val="0"/>
        </w:rPr>
        <w:br/>
      </w:r>
      <w:r>
        <w:rPr>
          <w:b w:val="0"/>
          <w:i w:val="0"/>
        </w:rPr>
        <w:t>- TCĐTPT</w:t>
      </w:r>
      <w:r>
        <w:rPr>
          <w:b w:val="0"/>
          <w:i w:val="0"/>
        </w:rPr>
        <w:br/>
      </w:r>
      <w:r>
        <w:rPr>
          <w:b w:val="0"/>
          <w:i w:val="0"/>
        </w:rPr>
        <w:t>- Cục ĐTPT Bình Thuận</w:t>
      </w:r>
      <w:r>
        <w:rPr>
          <w:b w:val="0"/>
          <w:i w:val="0"/>
        </w:rPr>
        <w:br/>
      </w:r>
      <w:r>
        <w:rPr>
          <w:b w:val="0"/>
          <w:i w:val="0"/>
        </w:rPr>
        <w:t>- Tổng cục thuế</w:t>
      </w:r>
      <w:r>
        <w:rPr>
          <w:b w:val="0"/>
          <w:i w:val="0"/>
        </w:rPr>
        <w:br/>
      </w:r>
      <w:r>
        <w:rPr>
          <w:b w:val="0"/>
          <w:i w:val="0"/>
        </w:rPr>
        <w:t>- Cục thuế Bình Thuận</w:t>
      </w:r>
      <w:r>
        <w:rPr>
          <w:b w:val="0"/>
          <w:i w:val="0"/>
        </w:rPr>
        <w:br/>
      </w:r>
      <w:r>
        <w:rPr>
          <w:b w:val="0"/>
          <w:i w:val="0"/>
        </w:rPr>
        <w:t>- Lưu: VP, Vụ TVQT</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NGUYỄN SINH HÙNG</w:t>
      </w:r>
      <w:r>
        <w:rPr>
          <w:b w:val="0"/>
          <w:i w:val="0"/>
        </w:rPr>
        <w:br/>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353 QĐ/TC/TCT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UBKHNN, Bộ XD</w:t>
            </w:r>
            <w:r>
              <w:rPr>
                <w:b w:val="0"/>
                <w:i w:val="0"/>
              </w:rPr>
              <w:br/>
            </w:r>
            <w:r>
              <w:rPr>
                <w:b w:val="0"/>
                <w:i w:val="0"/>
              </w:rPr>
              <w:t>- TCĐTPT</w:t>
            </w:r>
            <w:r>
              <w:rPr>
                <w:b w:val="0"/>
                <w:i w:val="0"/>
              </w:rPr>
              <w:br/>
            </w:r>
            <w:r>
              <w:rPr>
                <w:b w:val="0"/>
                <w:i w:val="0"/>
              </w:rPr>
              <w:t>- Cục ĐTPT Bình Thuận</w:t>
            </w:r>
            <w:r>
              <w:rPr>
                <w:b w:val="0"/>
                <w:i w:val="0"/>
              </w:rPr>
              <w:br/>
            </w:r>
            <w:r>
              <w:rPr>
                <w:b w:val="0"/>
                <w:i w:val="0"/>
              </w:rPr>
              <w:t>- Tổng cục thuế</w:t>
            </w:r>
            <w:r>
              <w:rPr>
                <w:b w:val="0"/>
                <w:i w:val="0"/>
              </w:rPr>
              <w:br/>
            </w:r>
            <w:r>
              <w:rPr>
                <w:b w:val="0"/>
                <w:i w:val="0"/>
              </w:rPr>
              <w:t>- Cục thuế Bình Thuận</w:t>
            </w:r>
            <w:r>
              <w:rPr>
                <w:b w:val="0"/>
                <w:i w:val="0"/>
              </w:rPr>
              <w:br/>
            </w:r>
            <w:r>
              <w:rPr>
                <w:b w:val="0"/>
                <w:i w:val="0"/>
              </w:rPr>
              <w:t>- Lưu: VP, Vụ TVQT</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NGUYỄN SINH HÙNG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