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354 QÐ/TC/TCT duyệt dự án đầu tư xây dựng trụ sở làm việc Công ty Bảo hiểm Hà Tây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354 QĐ/TC/TCT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DUYỆT DỰ ÁN ĐẦU TƯ XÂY DỰNG TRỤ SỞ LÀM VIỆC CÔNG TY BẢO HIỂM HÀ TÂY</w:t>
      </w:r>
    </w:p>
    <w:p>
      <w:pPr>
        <w:jc w:val="center"/>
      </w:pPr>
      <w:r>
        <w:rPr>
          <w:b w:val="0"/>
          <w:i w:val="0"/>
        </w:rPr>
        <w:t>BỘ TRƯỞNG BỘ TÀI CHÍNH</w:t>
      </w:r>
    </w:p>
    <w:p>
      <w:r>
        <w:rPr>
          <w:b w:val="0"/>
          <w:i w:val="0"/>
        </w:rPr>
        <w:t>- Căn cứ Nghị định số 178/CP ngày 28/10/1994 của Chính phủ quy định nhiệm vụ , quyền hạn và tổ chức bộ máy Bộ Tài chính;</w:t>
      </w:r>
    </w:p>
    <w:p>
      <w:r>
        <w:rPr>
          <w:b w:val="0"/>
          <w:i w:val="0"/>
        </w:rPr>
        <w:t>- Căn cứ Nghị định số 177/CP ngày 20/10/1994 của Chính Phủ về việc ban hành Điều lệ quản lý đầu tư và xây dựng.</w:t>
      </w:r>
    </w:p>
    <w:p>
      <w:r>
        <w:rPr>
          <w:b w:val="0"/>
          <w:i w:val="0"/>
        </w:rPr>
        <w:t>Theo đề nghị của đồng chí Tổng Giám đốc Tổng Công ty Bảo hiểm Việt Nam, Vụ Tài vụ quản trị Bộ Tài chính;</w:t>
      </w:r>
    </w:p>
    <w:p>
      <w:pPr>
        <w:jc w:val="center"/>
      </w:pPr>
      <w:r>
        <w:rPr>
          <w:b w:val="0"/>
          <w:i w:val="0"/>
        </w:rPr>
        <w:t>QUYẾT ĐỊNH</w:t>
      </w:r>
    </w:p>
    <w:p>
      <w:r>
        <w:rPr>
          <w:b/>
          <w:i w:val="0"/>
        </w:rPr>
        <w:t>Điều 1</w:t>
      </w:r>
      <w:r>
        <w:rPr>
          <w:b w:val="0"/>
          <w:i w:val="0"/>
        </w:rPr>
        <w:t>: Duyệt dự án đầu tư khả thi và phương án 1 thiết kế sơ bộ công trình trụ sở Công ty Bảo hiểm Hà Tây do công ty kiến trúc HAAI lập tháng 11/1994.</w:t>
      </w:r>
    </w:p>
    <w:p>
      <w:r>
        <w:rPr>
          <w:b w:val="0"/>
          <w:i w:val="0"/>
        </w:rPr>
        <w:t>1. Tên công trình: Trụ sở Công ty Bảo hiểm Hà Tây.</w:t>
      </w:r>
    </w:p>
    <w:p>
      <w:r>
        <w:rPr>
          <w:b w:val="0"/>
          <w:i w:val="0"/>
        </w:rPr>
        <w:t>2. Địa điểm xây dựng: Quốc lộ 6 Thị xã Hà Đông - tỉnh Hà Tây</w:t>
      </w:r>
    </w:p>
    <w:p>
      <w:r>
        <w:rPr>
          <w:b w:val="0"/>
          <w:i w:val="0"/>
        </w:rPr>
        <w:t>- Đông giáp: Lô đất số 17 và số 100</w:t>
      </w:r>
    </w:p>
    <w:p>
      <w:r>
        <w:rPr>
          <w:b w:val="0"/>
          <w:i w:val="0"/>
        </w:rPr>
        <w:t>- Tây giáp: Lô đất số 101 và số 10</w:t>
      </w:r>
    </w:p>
    <w:p>
      <w:r>
        <w:rPr>
          <w:b w:val="0"/>
          <w:i w:val="0"/>
        </w:rPr>
        <w:t>- Nam giáp: Đường quy hoạch 7 mét</w:t>
      </w:r>
    </w:p>
    <w:p>
      <w:r>
        <w:rPr>
          <w:b w:val="0"/>
          <w:i w:val="0"/>
        </w:rPr>
        <w:t>- Bắc giáp: Đường Quốc lộ số 6</w:t>
      </w:r>
    </w:p>
    <w:p>
      <w:r>
        <w:rPr>
          <w:b w:val="0"/>
          <w:i w:val="0"/>
        </w:rPr>
        <w:t>(Có sơ đồ cấp đất XD tỷ lệ 1/500 do Sở XD Hà Tây cấp ngày 12/5/1994 đính kèm).</w:t>
      </w:r>
    </w:p>
    <w:p>
      <w:r>
        <w:rPr>
          <w:b w:val="0"/>
          <w:i w:val="0"/>
        </w:rPr>
        <w:t>3. Đặc điểm và qui mô công trình.</w:t>
      </w:r>
    </w:p>
    <w:p>
      <w:r>
        <w:rPr>
          <w:b w:val="0"/>
          <w:i w:val="0"/>
        </w:rPr>
        <w:t>- Kiến trúc: Mặt bằng hình chữ nhật, chiều song song với quốc lộ 6 dài 15,6m, cánh vuông góc với quốc lộ 6 dài 12,6m, bước cột 3,6m, nhịp dầm 6m và 36m. Nhà cao 4 tầng, mỗi tầng cao 3,6m, chiều cao đỉnh mái là 15,8m, cửa vào sảnh chính là cửa kính khung nhôm, các cửa đi, cửa sổ làm bằng gỗ + kính có khuôn.</w:t>
      </w:r>
    </w:p>
    <w:p>
      <w:r>
        <w:rPr>
          <w:b w:val="0"/>
          <w:i w:val="0"/>
        </w:rPr>
        <w:t>- Kết cấu: Nhà khung chịu lực, sàn mái BTCT đổ tại chỗ</w:t>
      </w:r>
    </w:p>
    <w:p>
      <w:r>
        <w:rPr>
          <w:b w:val="0"/>
          <w:i w:val="0"/>
        </w:rPr>
        <w:t>- Hoàn thiện: Sàn lát gạch bông, tường trong, ngoài sơn silicát, tường khu vệ sinh ốp gạch men.</w:t>
      </w:r>
    </w:p>
    <w:p>
      <w:r>
        <w:rPr>
          <w:b w:val="0"/>
          <w:i w:val="0"/>
        </w:rPr>
        <w:t>- Giải pháp lắp điện: Dùng chung lưới điện sinh hoạt thị xã Hà đông; thông gió bằng quạt trần + điều hoà nhiệt độ , chiếu sáng bằng đèn ống.</w:t>
      </w:r>
    </w:p>
    <w:p>
      <w:r>
        <w:rPr>
          <w:b w:val="0"/>
          <w:i w:val="0"/>
        </w:rPr>
        <w:t>- Giải pháp cấp thoát nước: Dùng nước của nhà máy thị xã, chứa nước bằng bể nước dưới đất và bơm lên bể nước mái để cung cấp cho khu WC các tầng và phòng hoả. Thoát nước thải khu WC qua bệ tự hoại ra hệ thống thoát nước thị xã .</w:t>
      </w:r>
    </w:p>
    <w:p>
      <w:r>
        <w:rPr>
          <w:b w:val="0"/>
          <w:i w:val="0"/>
        </w:rPr>
        <w:t>- Quy mô công trình:</w:t>
      </w:r>
    </w:p>
    <w:p>
      <w:r>
        <w:rPr>
          <w:b w:val="0"/>
          <w:i w:val="0"/>
        </w:rPr>
        <w:t>* Nhà chính: + Diện tích 187 m2</w:t>
      </w:r>
    </w:p>
    <w:p>
      <w:r>
        <w:rPr>
          <w:b w:val="0"/>
          <w:i w:val="0"/>
        </w:rPr>
        <w:t xml:space="preserve">                     + Diện tích làm việc 372 m2</w:t>
      </w:r>
    </w:p>
    <w:p>
      <w:r>
        <w:rPr>
          <w:b w:val="0"/>
          <w:i w:val="0"/>
        </w:rPr>
        <w:t xml:space="preserve">                     + Diện tích sử dụng 593 m2</w:t>
      </w:r>
    </w:p>
    <w:p>
      <w:r>
        <w:rPr>
          <w:b w:val="0"/>
          <w:i w:val="0"/>
        </w:rPr>
        <w:t xml:space="preserve">                     + Diện tích sàn xây dựng 710 m2</w:t>
      </w:r>
    </w:p>
    <w:p>
      <w:r>
        <w:rPr>
          <w:b w:val="0"/>
          <w:i w:val="0"/>
        </w:rPr>
        <w:t>* Nhà phụ: Gara ôtô + kho 36 m2</w:t>
      </w:r>
    </w:p>
    <w:p>
      <w:r>
        <w:rPr>
          <w:b w:val="0"/>
          <w:i w:val="0"/>
        </w:rPr>
        <w:t xml:space="preserve">                                                    Ssd</w:t>
      </w:r>
    </w:p>
    <w:p>
      <w:r>
        <w:rPr>
          <w:b w:val="0"/>
          <w:i w:val="0"/>
        </w:rPr>
        <w:t>Hệ số sử dụng mặt bằng : k = ------------- = 0.84</w:t>
      </w:r>
    </w:p>
    <w:p>
      <w:r>
        <w:rPr>
          <w:b w:val="0"/>
          <w:i w:val="0"/>
        </w:rPr>
        <w:t xml:space="preserve">                                                    Ssàn</w:t>
      </w:r>
    </w:p>
    <w:p>
      <w:r>
        <w:rPr>
          <w:b w:val="0"/>
          <w:i w:val="0"/>
        </w:rPr>
        <w:t>- Cấp công trình:         + Công trình chính : Cấp II</w:t>
      </w:r>
    </w:p>
    <w:p>
      <w:r>
        <w:rPr>
          <w:b w:val="0"/>
          <w:i w:val="0"/>
        </w:rPr>
        <w:t xml:space="preserve">                          + Nhà phụ trợ     Cấp III</w:t>
      </w:r>
    </w:p>
    <w:p>
      <w:r>
        <w:rPr>
          <w:b w:val="0"/>
          <w:i w:val="0"/>
        </w:rPr>
        <w:t>Ghi chú: Không được thiết kế các phòng ngủ của khách trong trụ sở làm việc.</w:t>
      </w:r>
    </w:p>
    <w:p>
      <w:r>
        <w:rPr>
          <w:b w:val="0"/>
          <w:i w:val="0"/>
        </w:rPr>
        <w:t>4. Vốn đầu tư:</w:t>
      </w:r>
    </w:p>
    <w:p>
      <w:r>
        <w:rPr>
          <w:b w:val="0"/>
          <w:i w:val="0"/>
        </w:rPr>
        <w:t>- Hình thức xây dựng: Xây dựng mới</w:t>
      </w:r>
    </w:p>
    <w:p>
      <w:r>
        <w:rPr>
          <w:b w:val="0"/>
          <w:i w:val="0"/>
        </w:rPr>
        <w:t>- Nguồn gốc đầu tư: Vốn tự có về đầu tư XDCB của Tổng Công ty Bảo hiểm Việt Nam</w:t>
      </w:r>
    </w:p>
    <w:p>
      <w:r>
        <w:rPr>
          <w:b w:val="0"/>
          <w:i w:val="0"/>
        </w:rPr>
        <w:t xml:space="preserve">  Tổng mức đầu tư dự kiến:                      3.455.000.000đ</w:t>
      </w:r>
    </w:p>
    <w:p>
      <w:r>
        <w:rPr>
          <w:b w:val="0"/>
          <w:i w:val="0"/>
        </w:rPr>
        <w:t>Trong đó: + Vốn xây lắp, điện nước:            1.100.000.000đ</w:t>
      </w:r>
    </w:p>
    <w:p>
      <w:r>
        <w:rPr>
          <w:b w:val="0"/>
          <w:i w:val="0"/>
        </w:rPr>
        <w:t xml:space="preserve"> + Vốn thiết bị (bàn ghế, tủ, t/bị VP,</w:t>
      </w:r>
    </w:p>
    <w:p>
      <w:r>
        <w:rPr>
          <w:b w:val="0"/>
          <w:i w:val="0"/>
        </w:rPr>
        <w:t xml:space="preserve">trang trí nội thất một số phòng)             50.000.000đ   </w:t>
      </w:r>
    </w:p>
    <w:p>
      <w:r>
        <w:rPr>
          <w:b w:val="0"/>
          <w:i w:val="0"/>
        </w:rPr>
        <w:t xml:space="preserve">          + Vốn KTCB khác                           2.305.000.000đ</w:t>
      </w:r>
    </w:p>
    <w:p>
      <w:r>
        <w:rPr>
          <w:b w:val="0"/>
          <w:i w:val="0"/>
        </w:rPr>
        <w:t xml:space="preserve"> (trong đó tiền sử dụng đất là 2.205.000.000đ)</w:t>
      </w:r>
    </w:p>
    <w:p>
      <w:r>
        <w:rPr>
          <w:b w:val="0"/>
          <w:i w:val="0"/>
        </w:rPr>
        <w:t>5. Tiến độ thiết kế và thi công công trình:</w:t>
      </w:r>
    </w:p>
    <w:p>
      <w:r>
        <w:rPr>
          <w:b w:val="0"/>
          <w:i w:val="0"/>
        </w:rPr>
        <w:t>- Công trình thiết kế thi công</w:t>
      </w:r>
    </w:p>
    <w:p>
      <w:r>
        <w:rPr>
          <w:b w:val="0"/>
          <w:i w:val="0"/>
        </w:rPr>
        <w:t>Thiết kế sơ bộ, khái quát vốn đầu tư</w:t>
      </w:r>
    </w:p>
    <w:p>
      <w:r>
        <w:rPr>
          <w:b w:val="0"/>
          <w:i w:val="0"/>
        </w:rPr>
        <w:t>Thiết kế mỹ thuật thi công, tổng dự toán</w:t>
      </w:r>
    </w:p>
    <w:p>
      <w:r>
        <w:rPr>
          <w:b w:val="0"/>
          <w:i w:val="0"/>
        </w:rPr>
        <w:t>- Tiến độ xây dựng:</w:t>
      </w:r>
    </w:p>
    <w:p>
      <w:r>
        <w:rPr>
          <w:b w:val="0"/>
          <w:i w:val="0"/>
        </w:rPr>
        <w:t>+ Hoàn thành chuẩn bị đầu tư: Quý 2/1995</w:t>
      </w:r>
    </w:p>
    <w:p>
      <w:r>
        <w:rPr>
          <w:b w:val="0"/>
          <w:i w:val="0"/>
        </w:rPr>
        <w:t>+ Chỉ được phép khởi công xây dựng công trình khi thiết kế, dự toán được duyệt.</w:t>
      </w:r>
    </w:p>
    <w:p>
      <w:r>
        <w:rPr>
          <w:b w:val="0"/>
          <w:i w:val="0"/>
        </w:rPr>
        <w:t>+ Thời gian xây dựng công trình kể từ khi khởi công đến khi hoàn thành công trình là 09 tháng.</w:t>
      </w:r>
    </w:p>
    <w:p>
      <w:r>
        <w:rPr>
          <w:b w:val="0"/>
          <w:i w:val="0"/>
        </w:rPr>
        <w:t>- Chủ quản đầu tư: Bộ Tài chính</w:t>
      </w:r>
    </w:p>
    <w:p>
      <w:r>
        <w:rPr>
          <w:b w:val="0"/>
          <w:i w:val="0"/>
        </w:rPr>
        <w:t>- Chủ đầu tư: Công ty Bảo hiểm Hà Tây</w:t>
      </w:r>
    </w:p>
    <w:p>
      <w:r>
        <w:rPr>
          <w:b w:val="0"/>
          <w:i w:val="0"/>
        </w:rPr>
        <w:t>- Đơn vị thiết kế: Công ty kiến trúc HAAI</w:t>
      </w:r>
    </w:p>
    <w:p>
      <w:r>
        <w:rPr>
          <w:b w:val="0"/>
          <w:i w:val="0"/>
        </w:rPr>
        <w:t>- Đơn vị thi công: Các đơn vị có đủ khả năng và đủ tư cách pháp nhân hành nghề theo qui định hiện hành.</w:t>
      </w:r>
    </w:p>
    <w:p>
      <w:r>
        <w:rPr>
          <w:b w:val="0"/>
          <w:i w:val="0"/>
        </w:rPr>
        <w:t>- Hình thức quản lý thực hiện: Chủ đầu tư trực tiếp quản lý thực hiện dự án.</w:t>
      </w:r>
    </w:p>
    <w:p>
      <w:r>
        <w:rPr>
          <w:b/>
          <w:i w:val="0"/>
        </w:rPr>
        <w:t>Điều 2</w:t>
      </w:r>
      <w:r>
        <w:rPr>
          <w:b w:val="0"/>
          <w:i w:val="0"/>
        </w:rPr>
        <w:t>: Quyết định có hiệu lực kể từ ngày ký. Các đồng chí Tổng Giám đốc Tổng Công ty Bảo hiểm Việt Nam, Vụ trưởng Vụ Tài vụ quản trị, Chánh Văn phòng Bộ và Giám đốc Công ty Bảo hiểm Hà Tây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CTy BH Hà Tây</w:t>
            </w:r>
            <w:r>
              <w:rPr>
                <w:b w:val="0"/>
                <w:i w:val="0"/>
              </w:rPr>
              <w:br/>
            </w:r>
            <w:r>
              <w:rPr>
                <w:b w:val="0"/>
                <w:i w:val="0"/>
              </w:rPr>
              <w:t>- UBND tỉnh Hà Tây (để b/c)</w:t>
            </w:r>
            <w:r>
              <w:rPr>
                <w:b w:val="0"/>
                <w:i w:val="0"/>
              </w:rPr>
              <w:br/>
            </w:r>
            <w:r>
              <w:rPr>
                <w:b w:val="0"/>
                <w:i w:val="0"/>
              </w:rPr>
              <w:t>- Tổng CTy BH VN</w:t>
            </w:r>
            <w:r>
              <w:rPr>
                <w:b w:val="0"/>
                <w:i w:val="0"/>
              </w:rPr>
              <w:br/>
            </w:r>
            <w:r>
              <w:rPr>
                <w:b w:val="0"/>
                <w:i w:val="0"/>
              </w:rPr>
              <w:t>- Lưu TCQT, VP</w:t>
            </w:r>
          </w:p>
        </w:tc>
        <w:tc>
          <w:tcPr>
            <w:tcW w:type="dxa" w:w="4320"/>
          </w:tcPr>
          <w:p>
            <w:r>
              <w:rPr>
                <w:b w:val="0"/>
                <w:i w:val="0"/>
              </w:rPr>
              <w:br/>
            </w:r>
            <w:r>
              <w:rPr>
                <w:b w:val="0"/>
                <w:i w:val="0"/>
              </w:rPr>
              <w:t>KT. Bộ trưởng Bộ tài chính</w:t>
            </w:r>
            <w:r>
              <w:rPr>
                <w:b w:val="0"/>
                <w:i w:val="0"/>
              </w:rPr>
              <w:br/>
            </w:r>
            <w:r>
              <w:rPr>
                <w:b/>
                <w:i w:val="0"/>
              </w:rPr>
              <w:t>Thứ trưởng</w:t>
            </w:r>
            <w:r>
              <w:rPr>
                <w:b w:val="0"/>
                <w:i w:val="0"/>
              </w:rPr>
              <w:br/>
            </w:r>
            <w:r>
              <w:rPr>
                <w:b w:val="0"/>
                <w:i/>
              </w:rPr>
              <w:t>(Đã ký</w:t>
            </w:r>
            <w:r>
              <w:rPr>
                <w:b w:val="0"/>
                <w:i w:val="0"/>
              </w:rPr>
              <w:t>)</w:t>
            </w:r>
            <w:r>
              <w:rPr>
                <w:b w:val="0"/>
                <w:i w:val="0"/>
              </w:rPr>
              <w:br/>
            </w:r>
            <w:r>
              <w:rPr>
                <w:b w:val="0"/>
                <w:i w:val="0"/>
              </w:rPr>
              <w:t>Nguyễn Sinh Hùng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