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355-TTg Về việc thu hoạch và xuất khẩu cà phê</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t>********</w:t>
            </w:r>
          </w:p>
        </w:tc>
      </w:tr>
    </w:tbl>
    <w:p>
      <w:r>
        <w:rPr>
          <w:b/>
          <w:i w:val="0"/>
        </w:rPr>
        <w:t xml:space="preserve">CHỈ THỊ </w:t>
      </w:r>
    </w:p>
    <w:p>
      <w:r>
        <w:rPr>
          <w:b/>
          <w:i w:val="0"/>
        </w:rPr>
        <w:t>Về việc thu hoạch và xuất khẩu cà phê</w:t>
      </w:r>
    </w:p>
    <w:p>
      <w:r>
        <w:rPr>
          <w:b w:val="0"/>
          <w:i w:val="0"/>
        </w:rPr>
        <w:t>Sản phẩm cà phê là một trong những mặt hàng nông sản xuất khẩu có giá trị.</w:t>
      </w:r>
    </w:p>
    <w:p>
      <w:r>
        <w:rPr>
          <w:b w:val="0"/>
          <w:i w:val="0"/>
        </w:rPr>
        <w:t>Để bảo đảm tận thu cà phê cho kế hoạch xuất khẩu của Nhà nước, Thủ tướng Chính phủ yêu cầu các tỉnh có cà phê và các nông trường trồng cà phê tăng cường các biện pháp quản lý chặt chẽ để chống hái trộm, lấy cắp, buôn lậu và mua bán trái phép hạt cà phê.</w:t>
      </w:r>
    </w:p>
    <w:p>
      <w:r>
        <w:rPr>
          <w:b w:val="0"/>
          <w:i w:val="0"/>
        </w:rPr>
        <w:t>Ủy ban nhân dân các tỉnh có trồng cà phê, các tỉnh và thành phố trực thuộc trung ương, các ngành có liên quan thực hiện các quy định sau đây.</w:t>
      </w:r>
    </w:p>
    <w:p>
      <w:r>
        <w:rPr>
          <w:b/>
          <w:i w:val="0"/>
        </w:rPr>
        <w:t>1.</w:t>
      </w:r>
      <w:r>
        <w:rPr>
          <w:b w:val="0"/>
          <w:i w:val="0"/>
        </w:rPr>
        <w:t xml:space="preserve"> </w:t>
      </w:r>
      <w:r>
        <w:rPr>
          <w:b w:val="0"/>
          <w:i w:val="0"/>
        </w:rPr>
        <w:t>Động viên công nhân các nông trường trồng cà phê, các xã viên và các hộ nông dân có vườn cà phê đẩy mạnh chăm bón và tận thu hạt cà phê, kể cả thu lượm hạt rơi rụng để bán cho Nhà nước. Cấm tư nhân buôn bán hạt cà phê. Đối với các đơn vị sản xuất, do quản lý chặt chẽ mà giao được vượt mức kế hoạch cà phê xuất khẩu, thì thưởng theo đúng chính sách khuyến khích hàng xuất khẩu đã ban hành theo Nghị định số 227-CP ngày 21-6-1979 của Hội đồng Chính phủ. Ngành ngoại thương cần thiết thực tác động vào các khâu trồng trọt, chăm bón, thu hái, giao nhận cà phê xuất khẩu.</w:t>
      </w:r>
    </w:p>
    <w:p>
      <w:r>
        <w:rPr>
          <w:b/>
          <w:i w:val="0"/>
        </w:rPr>
        <w:t>2.</w:t>
      </w:r>
      <w:r>
        <w:rPr>
          <w:b w:val="0"/>
          <w:i w:val="0"/>
        </w:rPr>
        <w:t xml:space="preserve"> </w:t>
      </w:r>
      <w:r>
        <w:rPr>
          <w:b w:val="0"/>
          <w:i w:val="0"/>
        </w:rPr>
        <w:t>Các tỉnh có cà phê cần thi hành các biện pháp về kiểm tra, kiểm soát việc buôn bán, vận chuyển cà phê trái phép trên các tuyến đường và đối với các phương tiện vận tải, kể cả các loại xe ô-tô con; không cho tư nhân chuyên chở cà phê hạt ra khỏi tỉnh. Tất cả các loại xe ô tô của quân đội cũng phải chịu sự kiểm soát này (khi kiểm soát các xe ô tô của quân đội, các tỉnh cần phối hợp với lực lượng quân cảnh). Bộ Quốc phòng ra lệnh cho lực lượng quân cảnh ở các tỉnh có trồng cà phê, phối hợp với địa phương thi hành chỉ thị này.</w:t>
      </w:r>
    </w:p>
    <w:p>
      <w:r>
        <w:rPr>
          <w:b/>
          <w:i w:val="0"/>
        </w:rPr>
        <w:t>3.</w:t>
      </w:r>
      <w:r>
        <w:rPr>
          <w:b w:val="0"/>
          <w:i w:val="0"/>
        </w:rPr>
        <w:t xml:space="preserve"> </w:t>
      </w:r>
      <w:r>
        <w:rPr>
          <w:b w:val="0"/>
          <w:i w:val="0"/>
        </w:rPr>
        <w:t>Các tỉnh, thành phố trực thuộc trung ương cần xem xét hoạt động kinh doanh của các quán ăn, quán giải khát trong địa phương mình, trên tinh thần hết sức tiết kiệm tiêu dùng cà phê để dành cà phê cho Nhà nước xuất khẩu. Ngành thương nghiệp và các địa phương nghiên cứu biện pháp giúp đỡ các cửa hàng cà phê chuyển hướng kinh doanh.</w:t>
      </w:r>
    </w:p>
    <w:p>
      <w:r>
        <w:rPr>
          <w:b/>
          <w:i w:val="0"/>
        </w:rPr>
        <w:t>4.</w:t>
      </w:r>
      <w:r>
        <w:rPr>
          <w:b w:val="0"/>
          <w:i w:val="0"/>
        </w:rPr>
        <w:t xml:space="preserve"> </w:t>
      </w:r>
      <w:r>
        <w:rPr>
          <w:b w:val="0"/>
          <w:i w:val="0"/>
        </w:rPr>
        <w:t>Nghiêm cấm buôn bán cà phê dưới các dạng (hạt và bột) ở tất cả các tỉnh và thành phố. Các loại cà phê bán và mua trái phép, kể cả của cán bộ, nhân viên Nhà nước và của quân nhân, đều bị tịch thu. Đối với số cà phê tịch thu, phải giao cho cơ quan ngoại thương xuất khẩu, không được tiêu thụ trong nội bộ.</w:t>
      </w:r>
    </w:p>
    <w:p>
      <w:r>
        <w:rPr>
          <w:b/>
          <w:i w:val="0"/>
        </w:rPr>
        <w:t>5.</w:t>
      </w:r>
      <w:r>
        <w:rPr>
          <w:b w:val="0"/>
          <w:i w:val="0"/>
        </w:rPr>
        <w:t xml:space="preserve"> </w:t>
      </w:r>
      <w:r>
        <w:rPr>
          <w:b w:val="0"/>
          <w:i w:val="0"/>
        </w:rPr>
        <w:t>Đối với số cà phê dùng để tiếp khách và để cung cấp cho các nhu cầu đã được quy định, cần hết sức tiết kiệm và hạn chế, phải ghi vào chỉ tiêu phân phối của kế hoạch Nhà nước. Bộ Ngoại thương phải chỉ đạo Tổng công ty xuất nhập khẩu lâm thổ sản thực hiện việc phân phối cà phê cho các nhu cầu theo chỉ tiêu kế hoạch Nhà nước.</w:t>
      </w:r>
    </w:p>
    <w:p>
      <w:r>
        <w:rPr>
          <w:b w:val="0"/>
          <w:i w:val="0"/>
        </w:rPr>
        <w:t>Nhận được chỉ thị này, Bộ Nông nghiệp, Bộ Ngoại thương, Bộ Nội thương, Bộ Nội vụ, Bộ Quốc phòng cùng với Ủy ban nhân dân các tỉnh và thành phố trực thuộc trung ương tổ chức thực hiện ngay trên các địa điểm cần thiết và phổ biến cho các đơn vị có liên quan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val="0"/>
                <w:i w:val="0"/>
              </w:rPr>
              <w:br/>
            </w:r>
            <w:r>
              <w:rPr>
                <w:b w:val="0"/>
                <w:i w:val="0"/>
              </w:rPr>
              <w:br/>
            </w:r>
            <w:r>
              <w:rPr>
                <w:b w:val="0"/>
                <w:i w:val="0"/>
              </w:rPr>
              <w:br/>
            </w:r>
            <w:r>
              <w:rPr>
                <w:b/>
                <w:i w:val="0"/>
              </w:rPr>
              <w:t>Lê Thanh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