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357/QĐ-QLD Về việc cấp số đăng ký sản xuất trong nước cho 05 thuốc được phép lưu hành tại Việt Nam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BỘ Y TẾ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CỤC QUẢN LÝ DƯỢC</w:t>
        <w:br/>
        <w:t xml:space="preserve"> 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357/QĐ-QLD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Hà Nội, ngày 26 tháng 12 năm 2012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BỘ Y TẾ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CỤC QUẢN LÝ DƯỢC</w:t>
        <w:br/>
        <w:t xml:space="preserve"> 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357/QĐ-QLD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Hà Nội, ngày 26 tháng 12 năm 2012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BỘ Y TẾ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CỤC QUẢN LÝ DƯỢC</w:t>
        <w:br/>
        <w:t xml:space="preserve"> 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BỘ Y TẾ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CỤC QUẢN LÝ DƯỢC</w:t>
        <w:br/>
        <w:t xml:space="preserve"> 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BỘ Y TẾ</w:t>
        <w:br/>
        <w:t xml:space="preserve">      </w:t>
      </w:r>
    </w:p>
    <w:p>
      <w:r>
        <w:rPr>
          <w:b w:val="0"/>
          <w:i w:val="0"/>
        </w:rPr>
        <w:br/>
        <w:t xml:space="preserve">       CỤC QUẢN LÝ DƯỢC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357/QĐ-QLD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Hà Nội, ngày 26 tháng 12 năm 2012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357/QĐ-QLD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Hà Nội, ngày 26 tháng 12 năm 2012</w:t>
        <w:br/>
        <w:t xml:space="preserve">     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>Về việc cấp số đăng ký sản xuất trong nước cho 05 thuốc được phép lưu hành tại Việt Nam</w:t>
      </w:r>
    </w:p>
    <w:p>
      <w:r>
        <w:rPr>
          <w:b w:val="0"/>
          <w:i w:val="0"/>
        </w:rPr>
        <w:t>_______________________</w:t>
      </w:r>
    </w:p>
    <w:p>
      <w:r>
        <w:rPr>
          <w:b w:val="0"/>
          <w:i w:val="0"/>
        </w:rPr>
        <w:t xml:space="preserve"> </w:t>
      </w:r>
      <w:r>
        <w:rPr>
          <w:b/>
          <w:i w:val="0"/>
        </w:rPr>
        <w:t>CỤC TRƯỞNG CỤC QUẢN LÝ DƯỢC</w:t>
      </w:r>
    </w:p>
    <w:p>
      <w:r>
        <w:rPr>
          <w:b w:val="0"/>
          <w:i/>
        </w:rPr>
        <w:t>Căn cứ Luật Dược ngày 14/6/2005;</w:t>
      </w:r>
    </w:p>
    <w:p>
      <w:r>
        <w:rPr>
          <w:b w:val="0"/>
          <w:i/>
        </w:rPr>
        <w:t>Căn cứ Nghị định số 63/2012/NĐ-CP ngày 31/08/2012 của Chính phủ quy định chức năng, nhiệm vụ, quyền hạn và cơ cấu tổ chức của Bộ Y tế;</w:t>
      </w:r>
    </w:p>
    <w:p>
      <w:r>
        <w:rPr>
          <w:b w:val="0"/>
          <w:i/>
        </w:rPr>
        <w:t>Căn cứ Quyết định số 53/2008/QĐ-BYT ngày 30/12/2008 của Bộ trưởng Bộ Y tế quy định chức năng, nhiệm vụ, quyền hạn và cơ cấu tổ chức của Cục Quản lý Dược thuộc Bộ Y tế và Quyết định số 3106/QĐ-BYT ngày 29/08/2011 của Bộ trưởng Bộ Y tế về việc sửa đổi, bổ sung Điều 3 Quyết định số 53/2008/QĐ-BYT ngày 30/12/2008 của Bộ trưởng Bộ Y tế quy định chức năng, nhiệm vụ, quyền hạn và cơ cấu tổ chức của Cục Quản lý Dược thuộc Bộ Y tế;</w:t>
      </w:r>
    </w:p>
    <w:p>
      <w:r>
        <w:rPr>
          <w:b w:val="0"/>
          <w:i/>
        </w:rPr>
        <w:t>Căn cứ Thông tư số 22/2009/TT-BYT ngày 24/11/2009 của Bộ Y tế quy định việc đăng ký thuốc;</w:t>
      </w:r>
    </w:p>
    <w:p>
      <w:r>
        <w:rPr>
          <w:b w:val="0"/>
          <w:i/>
        </w:rPr>
        <w:t>Căn cứ công văn số 2447/SYT-NVD ngày 12/11/2012 của Sở Y tế Cần Thơ, công văn số 1031/SYT-QLD ngày 1/8/2012 và công văn số 1463/SYT-QLD ngày 11/10/2012 của Sở Y tế Bình Dương, công văn số 3226/SYT-NVD ngày 12/11/2012 của Sở Y tế Đồng Nai về việc đề nghị cấp số đăng ký cho các thuốc dùng ngoài thuộc phụ lục V - Thông tư số 22/2009/TT-BYT;</w:t>
      </w:r>
    </w:p>
    <w:p>
      <w:r>
        <w:rPr>
          <w:b w:val="0"/>
          <w:i/>
        </w:rPr>
        <w:t>Xét đề nghị của Trưởng phòng Đăng ký thuốc- Cục Quản lý Dược,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Cấp số đăng ký sản xuất trong nước cho 05 thuốc được phép lưu hành tại Việt Nam:</w:t>
      </w:r>
    </w:p>
    <w:p>
      <w:r>
        <w:rPr>
          <w:b w:val="0"/>
          <w:i w:val="0"/>
        </w:rPr>
        <w:t>1. Cơ sở đăng ký và sản xuất: Công ty TNHH dược phẩm Phương Nam</w:t>
      </w:r>
    </w:p>
    <w:p>
      <w:r>
        <w:rPr>
          <w:b w:val="0"/>
          <w:i w:val="0"/>
        </w:rPr>
        <w:t xml:space="preserve">Số 300C, đường Nguyễn Thông, P. An Thới, Q. Bình Thuỷ, Cần Thơ.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STT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Tên thuốc, hàm lượng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Quy cách đóng gói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Tiêu chuẩn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Tuổi thọ (tháng)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Số đăng ký</w:t>
            </w:r>
          </w:p>
        </w:tc>
      </w:tr>
    </w:tbl>
    <w:p>
      <w:r>
        <w:rPr>
          <w:b w:val="0"/>
          <w:i w:val="0"/>
        </w:rPr>
        <w:t>2. Cơ sở đăng ký: Công ty cổ phần dược phẩm OPC</w:t>
      </w:r>
    </w:p>
    <w:p>
      <w:r>
        <w:rPr>
          <w:b w:val="0"/>
          <w:i w:val="0"/>
        </w:rPr>
        <w:t>1017 Hồng Bàng, quận 6, Tp. Hồ Chí Minh</w:t>
      </w:r>
    </w:p>
    <w:p>
      <w:r>
        <w:rPr>
          <w:b w:val="0"/>
          <w:i w:val="0"/>
        </w:rPr>
        <w:t>Cơ sở sản xuất: Chi nhánh Công ty cổ phần Dược phẩm OPC tại Bình Dương - Nhà máy dược phẩm OPC</w:t>
      </w:r>
    </w:p>
    <w:p>
      <w:r>
        <w:rPr>
          <w:b w:val="0"/>
          <w:i w:val="0"/>
        </w:rPr>
        <w:t>Ấp Tân Hoá, xã Tân Vĩnh Hiệp, huyện Tân Uyên, tỉnh Bình Dương.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Alcool 70° (Ethanol 96% 43,75ml/60ml)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Chai 60ml, chai 90ml dung dịch dùng ngoài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TCCS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36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VS-4854-12</w:t>
            </w:r>
          </w:p>
        </w:tc>
      </w:tr>
    </w:tbl>
    <w:p>
      <w:r>
        <w:rPr>
          <w:b w:val="0"/>
          <w:i w:val="0"/>
        </w:rPr>
        <w:t>3. Cơ sở đăng ký và sản xuất: Công ty cổ phần dược Đồng Nai</w:t>
      </w:r>
    </w:p>
    <w:p>
      <w:r>
        <w:rPr>
          <w:b w:val="0"/>
          <w:i w:val="0"/>
        </w:rPr>
        <w:t xml:space="preserve">221B, Phạm Văn Thuận, p. Tân Tiến, Tp. Biên Hoà, Đồng Nai.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LADYPRESH (Alpha- terpineol 0,01g/ml)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Hộp 1 chai 80ml, hộp 1 chai 200ml, hộp 1 chai 250ml dung dịch rửa phụ khoa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TCCS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36</w:t>
            </w:r>
          </w:p>
        </w:tc>
        <w:tc>
          <w:tcPr>
            <w:tcW w:type="dxa" w:w="144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VS-4857-12</w:t>
            </w:r>
          </w:p>
        </w:tc>
      </w:tr>
    </w:tbl>
    <w:p>
      <w:r>
        <w:rPr>
          <w:b/>
          <w:i w:val="0"/>
        </w:rPr>
        <w:t xml:space="preserve">Điều 2. </w:t>
      </w:r>
      <w:r>
        <w:rPr>
          <w:b w:val="0"/>
          <w:i w:val="0"/>
        </w:rPr>
        <w:t>Công ty phải in số đăng ký được Bộ Y tế cấp lên nhãn thuốc và phải chấp hành đúng các quy chế có liên quan tới sản xuất và lưu hành thuốc. Số đăng ký có ký hiệu VS-...-12 có giá trị 05 năm kể từ ngày ký quyết định.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Quyết định này có hiệu lực kể từ ngày ký ban hành.</w:t>
      </w:r>
    </w:p>
    <w:p>
      <w:r>
        <w:rPr>
          <w:b/>
          <w:i w:val="0"/>
        </w:rPr>
        <w:t xml:space="preserve">Điều 4. </w:t>
      </w:r>
      <w:r>
        <w:rPr>
          <w:b w:val="0"/>
          <w:i w:val="0"/>
        </w:rPr>
        <w:t>Giám đốc Sở Y tế các tỉnh, thành phố trực thuộc trung ương và giám đốc đơn vị có thuốc tại điều 1 chịu trách nhiệm thi hành Quyết định này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CỤC TRƯỞNG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Trương Quốc Cường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CỤC TRƯỞNG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Trương Quốc Cường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 CỤC TRƯỞNG</w:t>
        <w:br/>
        <w:t xml:space="preserve">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Trương Quốc Cường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CỤC TRƯỞNG</w:t>
        <w:br/>
        <w:t xml:space="preserve">     </w:t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Trương Quốc Cường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