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35/2019/QĐ-UBND Ban hành khung giá dịch vụ sử dụng phà tại bến phà Cát Lái và bến phà Bình Khánh,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p>
    <w:p>
      <w:pPr>
        <w:jc w:val="center"/>
      </w:pPr>
      <w:r>
        <w:rPr>
          <w:b w:val="0"/>
          <w:i w:val="0"/>
        </w:rPr>
        <w:br/>
      </w:r>
      <w:r>
        <w:rPr>
          <w:b w:val="0"/>
          <w:i w:val="0"/>
        </w:rPr>
        <w:t>Số: 35/2019/QĐ-UBND</w:t>
      </w:r>
      <w:r>
        <w:rPr>
          <w:b w:val="0"/>
          <w:i w:val="0"/>
        </w:rPr>
        <w:br/>
      </w:r>
    </w:p>
    <w:p>
      <w:pPr>
        <w:jc w:val="center"/>
      </w:pPr>
      <w:r>
        <w:rPr>
          <w:b w:val="0"/>
          <w:i w:val="0"/>
        </w:rPr>
        <w:br/>
      </w:r>
      <w:r>
        <w:rPr>
          <w:b w:val="0"/>
          <w:i w:val="0"/>
        </w:rPr>
        <w:t>Thành phố Hồ Chí Minh, ngày 19 tháng 12 năm 2019</w:t>
      </w:r>
      <w:r>
        <w:rPr>
          <w:b w:val="0"/>
          <w:i w:val="0"/>
        </w:rPr>
        <w:br/>
      </w:r>
    </w:p>
    <w:p>
      <w:r>
        <w:rPr>
          <w:b/>
          <w:i w:val="0"/>
        </w:rPr>
        <w:t>QUYẾT ĐỊNH</w:t>
      </w:r>
    </w:p>
    <w:p>
      <w:r>
        <w:rPr>
          <w:b/>
          <w:i w:val="0"/>
        </w:rPr>
        <w:t xml:space="preserve">Ban hành khung giá dịch vụ sử dụng phà </w:t>
      </w:r>
      <w:r>
        <w:rPr>
          <w:b/>
          <w:i w:val="0"/>
        </w:rPr>
        <w:t>tại bến phà Cát Lái và bến phà Bình Khánh, Thành phố Hồ Chí Min</w:t>
      </w:r>
      <w:r>
        <w:rPr>
          <w:b/>
          <w:i w:val="0"/>
        </w:rPr>
        <w:t>h</w:t>
      </w:r>
    </w:p>
    <w:p>
      <w:r>
        <w:rPr>
          <w:b/>
          <w:i w:val="0"/>
        </w:rPr>
        <w:t>ỦY BAN NHÂN DÂN THÀNH PHỐ HỒ CHÍ MINH</w:t>
      </w:r>
    </w:p>
    <w:p>
      <w:pPr>
        <w:jc w:val="both"/>
      </w:pPr>
      <w:r>
        <w:rPr>
          <w:b w:val="0"/>
          <w:i/>
        </w:rPr>
        <w:t>Căn cứ Luật Tổ chức ch</w:t>
      </w:r>
      <w:r>
        <w:rPr>
          <w:b w:val="0"/>
          <w:i/>
        </w:rPr>
        <w:t>í</w:t>
      </w:r>
      <w:r>
        <w:rPr>
          <w:b w:val="0"/>
          <w:i/>
        </w:rPr>
        <w:t>nh quyền địa phương ngày 19 th</w:t>
      </w:r>
      <w:r>
        <w:rPr>
          <w:b w:val="0"/>
          <w:i/>
        </w:rPr>
        <w:t>á</w:t>
      </w:r>
      <w:r>
        <w:rPr>
          <w:b w:val="0"/>
          <w:i/>
        </w:rPr>
        <w:t>ng 6 năm 2015;</w:t>
      </w:r>
    </w:p>
    <w:p>
      <w:pPr>
        <w:jc w:val="both"/>
      </w:pPr>
      <w:r>
        <w:rPr>
          <w:b w:val="0"/>
          <w:i/>
        </w:rPr>
        <w:t>Căn cứ Luật Giá ngày 20 th</w:t>
      </w:r>
      <w:r>
        <w:rPr>
          <w:b w:val="0"/>
          <w:i/>
        </w:rPr>
        <w:t>á</w:t>
      </w:r>
      <w:r>
        <w:rPr>
          <w:b w:val="0"/>
          <w:i/>
        </w:rPr>
        <w:t>ng 6 năm 2012;</w:t>
      </w:r>
    </w:p>
    <w:p>
      <w:pPr>
        <w:jc w:val="both"/>
      </w:pPr>
      <w:r>
        <w:rPr>
          <w:b w:val="0"/>
          <w:i/>
        </w:rPr>
        <w:t>Căn cứ Nghị định số 177/2013/NĐ-CP ngày 14 tháng 11 năm 2013 của Ch</w:t>
      </w:r>
      <w:r>
        <w:rPr>
          <w:b w:val="0"/>
          <w:i/>
        </w:rPr>
        <w:t>í</w:t>
      </w:r>
      <w:r>
        <w:rPr>
          <w:b w:val="0"/>
          <w:i/>
        </w:rPr>
        <w:t>nh phủ quy định chi tiết và hướng d</w:t>
      </w:r>
      <w:r>
        <w:rPr>
          <w:b w:val="0"/>
          <w:i/>
        </w:rPr>
        <w:t>ẫ</w:t>
      </w:r>
      <w:r>
        <w:rPr>
          <w:b w:val="0"/>
          <w:i/>
        </w:rPr>
        <w:t>n thi hành một số đi</w:t>
      </w:r>
      <w:r>
        <w:rPr>
          <w:b w:val="0"/>
          <w:i/>
        </w:rPr>
        <w:t>ề</w:t>
      </w:r>
      <w:r>
        <w:rPr>
          <w:b w:val="0"/>
          <w:i/>
        </w:rPr>
        <w:t>u của Luật Gi</w:t>
      </w:r>
      <w:r>
        <w:rPr>
          <w:b w:val="0"/>
          <w:i/>
        </w:rPr>
        <w:t>á</w:t>
      </w:r>
      <w:r>
        <w:rPr>
          <w:b w:val="0"/>
          <w:i/>
        </w:rPr>
        <w:t>;</w:t>
      </w:r>
    </w:p>
    <w:p>
      <w:pPr>
        <w:jc w:val="both"/>
      </w:pPr>
      <w:r>
        <w:rPr>
          <w:b w:val="0"/>
          <w:i/>
        </w:rPr>
        <w:t>Căn cứ Nghị định số 149/2016/NĐ-CP ngày 11 th</w:t>
      </w:r>
      <w:r>
        <w:rPr>
          <w:b w:val="0"/>
          <w:i/>
        </w:rPr>
        <w:t>á</w:t>
      </w:r>
      <w:r>
        <w:rPr>
          <w:b w:val="0"/>
          <w:i/>
        </w:rPr>
        <w:t>ng 11 năm 2016 của Ch</w:t>
      </w:r>
      <w:r>
        <w:rPr>
          <w:b w:val="0"/>
          <w:i/>
        </w:rPr>
        <w:t>í</w:t>
      </w:r>
      <w:r>
        <w:rPr>
          <w:b w:val="0"/>
          <w:i/>
        </w:rPr>
        <w:t>nh phủ về sửa đổi, bổ sung một s</w:t>
      </w:r>
      <w:r>
        <w:rPr>
          <w:b w:val="0"/>
          <w:i/>
        </w:rPr>
        <w:t xml:space="preserve">ố </w:t>
      </w:r>
      <w:r>
        <w:rPr>
          <w:b w:val="0"/>
          <w:i/>
        </w:rPr>
        <w:t>điều của Nghị định số 177/2013/NĐ-CP ngày 14 tháng 11 năm 2013 của Chính ph</w:t>
      </w:r>
      <w:r>
        <w:rPr>
          <w:b w:val="0"/>
          <w:i/>
        </w:rPr>
        <w:t xml:space="preserve">ủ </w:t>
      </w:r>
      <w:r>
        <w:rPr>
          <w:b w:val="0"/>
          <w:i/>
        </w:rPr>
        <w:t>quy định chi tiết và hướng dẫn thi hành một số đi</w:t>
      </w:r>
      <w:r>
        <w:rPr>
          <w:b w:val="0"/>
          <w:i/>
        </w:rPr>
        <w:t>ề</w:t>
      </w:r>
      <w:r>
        <w:rPr>
          <w:b w:val="0"/>
          <w:i/>
        </w:rPr>
        <w:t>u của Luật Giá;</w:t>
      </w:r>
    </w:p>
    <w:p>
      <w:pPr>
        <w:jc w:val="both"/>
      </w:pPr>
      <w:r>
        <w:rPr>
          <w:b w:val="0"/>
          <w:i/>
        </w:rPr>
        <w:t>Căn cứ Thông tư số 56/20</w:t>
      </w:r>
      <w:r>
        <w:rPr>
          <w:b w:val="0"/>
          <w:i/>
        </w:rPr>
        <w:t>1</w:t>
      </w:r>
      <w:r>
        <w:rPr>
          <w:b w:val="0"/>
          <w:i/>
        </w:rPr>
        <w:t>4/TT-BTC ngày 28 th</w:t>
      </w:r>
      <w:r>
        <w:rPr>
          <w:b w:val="0"/>
          <w:i/>
        </w:rPr>
        <w:t>á</w:t>
      </w:r>
      <w:r>
        <w:rPr>
          <w:b w:val="0"/>
          <w:i/>
        </w:rPr>
        <w:t>ng 4 năm 2014 của Bộ trưởng Bộ Tài ch</w:t>
      </w:r>
      <w:r>
        <w:rPr>
          <w:b w:val="0"/>
          <w:i/>
        </w:rPr>
        <w:t>í</w:t>
      </w:r>
      <w:r>
        <w:rPr>
          <w:b w:val="0"/>
          <w:i/>
        </w:rPr>
        <w:t>nh hướng d</w:t>
      </w:r>
      <w:r>
        <w:rPr>
          <w:b w:val="0"/>
          <w:i/>
        </w:rPr>
        <w:t>ẫ</w:t>
      </w:r>
      <w:r>
        <w:rPr>
          <w:b w:val="0"/>
          <w:i/>
        </w:rPr>
        <w:t>n thực hiện Nghị định s</w:t>
      </w:r>
      <w:r>
        <w:rPr>
          <w:b w:val="0"/>
          <w:i/>
        </w:rPr>
        <w:t>ố</w:t>
      </w:r>
      <w:r>
        <w:rPr>
          <w:b w:val="0"/>
          <w:i/>
        </w:rPr>
        <w:t xml:space="preserve"> 177/2013/NĐ-CP ngày 14 th</w:t>
      </w:r>
      <w:r>
        <w:rPr>
          <w:b w:val="0"/>
          <w:i/>
        </w:rPr>
        <w:t>á</w:t>
      </w:r>
      <w:r>
        <w:rPr>
          <w:b w:val="0"/>
          <w:i/>
        </w:rPr>
        <w:t>ng 11 năm 2013 của Ch</w:t>
      </w:r>
      <w:r>
        <w:rPr>
          <w:b w:val="0"/>
          <w:i/>
        </w:rPr>
        <w:t>í</w:t>
      </w:r>
      <w:r>
        <w:rPr>
          <w:b w:val="0"/>
          <w:i/>
        </w:rPr>
        <w:t>nh phủ quy định chi tiết và hướng d</w:t>
      </w:r>
      <w:r>
        <w:rPr>
          <w:b w:val="0"/>
          <w:i/>
        </w:rPr>
        <w:t>ẫ</w:t>
      </w:r>
      <w:r>
        <w:rPr>
          <w:b w:val="0"/>
          <w:i/>
        </w:rPr>
        <w:t>n thi hành một số điều của Luật Gi</w:t>
      </w:r>
      <w:r>
        <w:rPr>
          <w:b w:val="0"/>
          <w:i/>
        </w:rPr>
        <w:t>á</w:t>
      </w:r>
      <w:r>
        <w:rPr>
          <w:b w:val="0"/>
          <w:i/>
        </w:rPr>
        <w:t>;</w:t>
      </w:r>
    </w:p>
    <w:p>
      <w:pPr>
        <w:jc w:val="both"/>
      </w:pPr>
      <w:r>
        <w:rPr>
          <w:b w:val="0"/>
          <w:i/>
        </w:rPr>
        <w:t>Căn cứ Thông tư số 233/2016/TT-BTC ngày 11 th</w:t>
      </w:r>
      <w:r>
        <w:rPr>
          <w:b w:val="0"/>
          <w:i/>
        </w:rPr>
        <w:t>á</w:t>
      </w:r>
      <w:r>
        <w:rPr>
          <w:b w:val="0"/>
          <w:i/>
        </w:rPr>
        <w:t xml:space="preserve">ng </w:t>
      </w:r>
      <w:r>
        <w:rPr>
          <w:b w:val="0"/>
          <w:i/>
        </w:rPr>
        <w:t xml:space="preserve">11 </w:t>
      </w:r>
      <w:r>
        <w:rPr>
          <w:b w:val="0"/>
          <w:i/>
        </w:rPr>
        <w:t>năm 2016 của Bộ trưởng Bộ Tài chính về s</w:t>
      </w:r>
      <w:r>
        <w:rPr>
          <w:b w:val="0"/>
          <w:i/>
        </w:rPr>
        <w:t>ử</w:t>
      </w:r>
      <w:r>
        <w:rPr>
          <w:b w:val="0"/>
          <w:i/>
        </w:rPr>
        <w:t>a đ</w:t>
      </w:r>
      <w:r>
        <w:rPr>
          <w:b w:val="0"/>
          <w:i/>
        </w:rPr>
        <w:t>ổ</w:t>
      </w:r>
      <w:r>
        <w:rPr>
          <w:b w:val="0"/>
          <w:i/>
        </w:rPr>
        <w:t>i, b</w:t>
      </w:r>
      <w:r>
        <w:rPr>
          <w:b w:val="0"/>
          <w:i/>
        </w:rPr>
        <w:t xml:space="preserve">ổ </w:t>
      </w:r>
      <w:r>
        <w:rPr>
          <w:b w:val="0"/>
          <w:i/>
        </w:rPr>
        <w:t>sung một số đi</w:t>
      </w:r>
      <w:r>
        <w:rPr>
          <w:b w:val="0"/>
          <w:i/>
        </w:rPr>
        <w:t>ề</w:t>
      </w:r>
      <w:r>
        <w:rPr>
          <w:b w:val="0"/>
          <w:i/>
        </w:rPr>
        <w:t>u của Thông tư số 56/2014/TT-BTC ngày 28 th</w:t>
      </w:r>
      <w:r>
        <w:rPr>
          <w:b w:val="0"/>
          <w:i/>
        </w:rPr>
        <w:t>á</w:t>
      </w:r>
      <w:r>
        <w:rPr>
          <w:b w:val="0"/>
          <w:i/>
        </w:rPr>
        <w:t>ng 4 năm 2014 hư</w:t>
      </w:r>
      <w:r>
        <w:rPr>
          <w:b w:val="0"/>
          <w:i/>
        </w:rPr>
        <w:t>ớ</w:t>
      </w:r>
      <w:r>
        <w:rPr>
          <w:b w:val="0"/>
          <w:i/>
        </w:rPr>
        <w:t>ng dẫn thực hiện Nghị định s</w:t>
      </w:r>
      <w:r>
        <w:rPr>
          <w:b w:val="0"/>
          <w:i/>
        </w:rPr>
        <w:t>ố</w:t>
      </w:r>
      <w:r>
        <w:rPr>
          <w:b w:val="0"/>
          <w:i/>
        </w:rPr>
        <w:t xml:space="preserve"> 177/2013/NĐ-CP ngày 14 th</w:t>
      </w:r>
      <w:r>
        <w:rPr>
          <w:b w:val="0"/>
          <w:i/>
        </w:rPr>
        <w:t>á</w:t>
      </w:r>
      <w:r>
        <w:rPr>
          <w:b w:val="0"/>
          <w:i/>
        </w:rPr>
        <w:t>ng 11 năm 2013 của Ch</w:t>
      </w:r>
      <w:r>
        <w:rPr>
          <w:b w:val="0"/>
          <w:i/>
        </w:rPr>
        <w:t>í</w:t>
      </w:r>
      <w:r>
        <w:rPr>
          <w:b w:val="0"/>
          <w:i/>
        </w:rPr>
        <w:t>nh phủ quy định ch</w:t>
      </w:r>
      <w:r>
        <w:rPr>
          <w:b w:val="0"/>
          <w:i/>
        </w:rPr>
        <w:t xml:space="preserve">i </w:t>
      </w:r>
      <w:r>
        <w:rPr>
          <w:b w:val="0"/>
          <w:i/>
        </w:rPr>
        <w:t>tiết và hướng d</w:t>
      </w:r>
      <w:r>
        <w:rPr>
          <w:b w:val="0"/>
          <w:i/>
        </w:rPr>
        <w:t>ẫ</w:t>
      </w:r>
      <w:r>
        <w:rPr>
          <w:b w:val="0"/>
          <w:i/>
        </w:rPr>
        <w:t>n thi hành một số đi</w:t>
      </w:r>
      <w:r>
        <w:rPr>
          <w:b w:val="0"/>
          <w:i/>
        </w:rPr>
        <w:t>ề</w:t>
      </w:r>
      <w:r>
        <w:rPr>
          <w:b w:val="0"/>
          <w:i/>
        </w:rPr>
        <w:t>u của Luật Gi</w:t>
      </w:r>
      <w:r>
        <w:rPr>
          <w:b w:val="0"/>
          <w:i/>
        </w:rPr>
        <w:t>á</w:t>
      </w:r>
      <w:r>
        <w:rPr>
          <w:b w:val="0"/>
          <w:i/>
        </w:rPr>
        <w:t>;</w:t>
      </w:r>
    </w:p>
    <w:p>
      <w:pPr>
        <w:jc w:val="both"/>
      </w:pPr>
      <w:r>
        <w:rPr>
          <w:b w:val="0"/>
          <w:i/>
        </w:rPr>
        <w:t>Theo đ</w:t>
      </w:r>
      <w:r>
        <w:rPr>
          <w:b w:val="0"/>
          <w:i/>
        </w:rPr>
        <w:t xml:space="preserve">ề </w:t>
      </w:r>
      <w:r>
        <w:rPr>
          <w:b w:val="0"/>
          <w:i/>
        </w:rPr>
        <w:t xml:space="preserve">nghị của Sở Giao thông vận tải tại Tờ trình số 6079/TTr-SGTVT ngày 03 tháng 12 năm 2019; </w:t>
      </w:r>
      <w:r>
        <w:rPr>
          <w:b w:val="0"/>
          <w:i/>
        </w:rPr>
        <w:t xml:space="preserve">ý </w:t>
      </w:r>
      <w:r>
        <w:rPr>
          <w:b w:val="0"/>
          <w:i/>
        </w:rPr>
        <w:t>kiến th</w:t>
      </w:r>
      <w:r>
        <w:rPr>
          <w:b w:val="0"/>
          <w:i/>
        </w:rPr>
        <w:t>ẩ</w:t>
      </w:r>
      <w:r>
        <w:rPr>
          <w:b w:val="0"/>
          <w:i/>
        </w:rPr>
        <w:t>m định của Sở Tư pháp tại Công văn s</w:t>
      </w:r>
      <w:r>
        <w:rPr>
          <w:b w:val="0"/>
          <w:i/>
        </w:rPr>
        <w:t>ố</w:t>
      </w:r>
      <w:r>
        <w:rPr>
          <w:b w:val="0"/>
          <w:i/>
        </w:rPr>
        <w:t xml:space="preserve"> 6943/STP-VB ngày 27 th</w:t>
      </w:r>
      <w:r>
        <w:rPr>
          <w:b w:val="0"/>
          <w:i/>
        </w:rPr>
        <w:t>á</w:t>
      </w:r>
      <w:r>
        <w:rPr>
          <w:b w:val="0"/>
          <w:i/>
        </w:rPr>
        <w:t>ng 11 năm 2019.</w:t>
      </w:r>
    </w:p>
    <w:p>
      <w:r>
        <w:rPr>
          <w:b/>
          <w:i w:val="0"/>
        </w:rPr>
        <w:t>QUYẾT ĐỊNH:</w:t>
      </w:r>
    </w:p>
    <w:p>
      <w:r>
        <w:rPr>
          <w:b/>
          <w:i w:val="0"/>
        </w:rPr>
        <w:t xml:space="preserve">Điều 1. </w:t>
      </w:r>
      <w:r>
        <w:rPr>
          <w:b w:val="0"/>
          <w:i w:val="0"/>
        </w:rPr>
        <w:t>Ban hành khung giá dịch vụ sử dụng phà được đầu tư bằng nguồn vốn ngân sách tại bến phà Cát Lái và bến phà Bình Khánh trên địa bàn Thành phố Hồ Chí Minh,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i w:val="0"/>
              </w:rPr>
              <w:t>Đối tượng qua phà</w:t>
            </w:r>
          </w:p>
        </w:tc>
        <w:tc>
          <w:tcPr>
            <w:tcW w:type="dxa" w:w="2160"/>
          </w:tcPr>
          <w:p>
            <w:r>
              <w:rPr>
                <w:b w:val="0"/>
                <w:i w:val="0"/>
              </w:rPr>
              <w:br/>
            </w:r>
            <w:r>
              <w:rPr>
                <w:b/>
                <w:i w:val="0"/>
              </w:rPr>
              <w:t>Khung giá</w:t>
            </w:r>
          </w:p>
        </w:tc>
        <w:tc>
          <w:tcPr>
            <w:tcW w:type="dxa" w:w="2160"/>
          </w:tcPr>
          <w:p>
            <w:r>
              <w:rPr>
                <w:b w:val="0"/>
                <w:i w:val="0"/>
              </w:rPr>
              <w:br/>
            </w:r>
            <w:r>
              <w:rPr>
                <w:b/>
                <w:i w:val="0"/>
              </w:rPr>
              <w:t>ĐVT</w:t>
            </w:r>
          </w:p>
        </w:tc>
      </w:tr>
    </w:tbl>
    <w:p>
      <w:r>
        <w:rPr>
          <w:b/>
          <w:i w:val="0"/>
        </w:rPr>
        <w:t xml:space="preserve">Điều 2. </w:t>
      </w:r>
      <w:r>
        <w:rPr>
          <w:b w:val="0"/>
          <w:i w:val="0"/>
        </w:rPr>
        <w:t>Giám đốc Sở Giao thông vận tải và Chỉ huy trưởng Lực lượng Thanh niên Xung phong thành phố có trách nhiệm chỉ đạo các đơn vị quản lý bến phà (Công ty Cổ phần Công trình cầu phà thành phố và Công ty TNHH Một thành viên Dịch vụ Công ích Thanh niên xung phong thành phố) tổ chức thực hiện thu theo khung giá quy định tại Điều 1 Quyết định này.</w:t>
      </w:r>
    </w:p>
    <w:p>
      <w:r>
        <w:rPr>
          <w:b/>
          <w:i w:val="0"/>
        </w:rPr>
        <w:t xml:space="preserve">Điều 3. </w:t>
      </w:r>
      <w:r>
        <w:rPr>
          <w:b w:val="0"/>
          <w:i w:val="0"/>
        </w:rPr>
        <w:t>Quyết định này có hiệu lực thi hành kể từ ngày 01 tháng 01 năm 2020, bãi bỏ Quyết định số 83/2010/QĐ-UBND ngày 21 tháng 12 năm 2010 của Ủy ban nhân dân thành phố về điều chỉnh mức thu phí qua các bến phà Thủ Thiêm, Cát Lái và Bình Khánh trên địa bàn thành phố.</w:t>
      </w:r>
    </w:p>
    <w:p>
      <w:r>
        <w:rPr>
          <w:b/>
          <w:i w:val="0"/>
        </w:rPr>
        <w:t xml:space="preserve">Điều 4. </w:t>
      </w:r>
      <w:r>
        <w:rPr>
          <w:b w:val="0"/>
          <w:i w:val="0"/>
        </w:rPr>
        <w:t>Chánh Văn phòng Ủy ban nhân dân thành phố, Giám đốc Sở Giao thông vận tải, thủ trưởng các sở - ban - ngành thành phố, Chủ tịch Ủy ban nhân dân các quận, huyện, Chỉ huy trưởng Lực lượng Thanh niên Xung phong thành phố và các tổ chức, đơn vị,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Võ Văn Hoan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Võ Văn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