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36/2000/QĐ-BCN Về việc tiếp nhận và chuyển giao Công ty Dệt kim Hoàng Thị Loan làm thành viên của Tổng Công ty Dệt-May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i w:val="0"/>
              </w:rPr>
              <w:t>BỘ CÔNG NGHIỆP</w:t>
            </w:r>
            <w:r>
              <w:rPr>
                <w:b w:val="0"/>
                <w:i w:val="0"/>
              </w:rPr>
              <w:br/>
            </w:r>
            <w:r>
              <w:rPr>
                <w:b w:val="0"/>
                <w:i w:val="0"/>
              </w:rPr>
              <w:br/>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p>
        </w:tc>
      </w:tr>
    </w:tbl>
    <w:p>
      <w:r>
        <w:rPr>
          <w:b w:val="0"/>
          <w:i w:val="0"/>
        </w:rPr>
        <w:br/>
      </w:r>
      <w:r>
        <w:rPr>
          <w:b w:val="0"/>
          <w:i w:val="0"/>
        </w:rPr>
        <w:br/>
      </w:r>
      <w:r>
        <w:rPr>
          <w:b/>
          <w:i w:val="0"/>
        </w:rPr>
        <w:t xml:space="preserve">QUYẾT ĐỊNH </w:t>
      </w:r>
      <w:r>
        <w:rPr>
          <w:b w:val="0"/>
          <w:i w:val="0"/>
        </w:rPr>
        <w:br/>
      </w:r>
      <w:r>
        <w:rPr>
          <w:b/>
          <w:i w:val="0"/>
        </w:rPr>
        <w:t>Về việc tiếp nhận và chuyển giao Công ty Dệt kim Hoàng Thị Loan làm thành viên của Tổng Công ty Dệt-May Việt Nam</w:t>
      </w:r>
      <w:r>
        <w:rPr>
          <w:b w:val="0"/>
          <w:i w:val="0"/>
        </w:rPr>
        <w:br/>
      </w:r>
      <w:r>
        <w:rPr>
          <w:b w:val="0"/>
          <w:i w:val="0"/>
        </w:rPr>
        <w:br/>
      </w:r>
      <w:r>
        <w:rPr>
          <w:b/>
          <w:i w:val="0"/>
        </w:rPr>
        <w:t xml:space="preserve">________________ </w:t>
      </w:r>
      <w:r>
        <w:rPr>
          <w:b w:val="0"/>
          <w:i w:val="0"/>
        </w:rPr>
        <w:br/>
      </w:r>
      <w:r>
        <w:rPr>
          <w:b/>
          <w:i w:val="0"/>
        </w:rPr>
        <w:t xml:space="preserve">BỘ TRƯỞNG BỘ </w:t>
      </w:r>
      <w:r>
        <w:rPr>
          <w:b/>
          <w:i w:val="0"/>
        </w:rPr>
        <w:t>CÔNG</w:t>
      </w:r>
      <w:r>
        <w:rPr>
          <w:b/>
          <w:i w:val="0"/>
        </w:rPr>
        <w:t xml:space="preserve">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Căn cứ Công văn số 24/CP-ĐMDN ngày 17 tháng 4 năm 2000 của Thủ tướng Chính phủ về việc phê duyệt Phương án tổng thể sắp xếp doanh nghiệp Nhà nước của Tổng Công ty Dệt - May Việt Nam;</w:t>
      </w:r>
      <w:r>
        <w:rPr>
          <w:b w:val="0"/>
          <w:i w:val="0"/>
        </w:rPr>
        <w:br/>
      </w:r>
      <w:r>
        <w:rPr>
          <w:b w:val="0"/>
          <w:i/>
        </w:rPr>
        <w:t>Xét đề nghị của Tổng Giám đốc Tổng Công ty Dệt-May Việt Nam (Côngvăn số 794/CV-HĐQT, ngày 02 tháng 6 năm 2000);</w:t>
      </w:r>
      <w:r>
        <w:rPr>
          <w:b w:val="0"/>
          <w:i w:val="0"/>
        </w:rPr>
        <w:br/>
      </w:r>
      <w:r>
        <w:rPr>
          <w:b w:val="0"/>
          <w:i/>
        </w:rPr>
        <w:t>Theo đề nghị của Vụ trưởng Vụ Tổ chức-Cán bộ,</w:t>
      </w:r>
      <w:r>
        <w:rPr>
          <w:b w:val="0"/>
          <w:i w:val="0"/>
        </w:rPr>
        <w:br/>
      </w:r>
      <w:r>
        <w:rPr>
          <w:b w:val="0"/>
          <w:i w:val="0"/>
        </w:rPr>
        <w:t xml:space="preserve"> </w:t>
      </w:r>
      <w:r>
        <w:rPr>
          <w:b/>
          <w:i w:val="0"/>
        </w:rPr>
        <w:t>QUYẾT ĐỊNH:</w:t>
      </w:r>
      <w:r>
        <w:rPr>
          <w:b w:val="0"/>
          <w:i w:val="0"/>
        </w:rPr>
        <w:br/>
      </w:r>
      <w:r>
        <w:rPr>
          <w:b/>
          <w:i w:val="0"/>
        </w:rPr>
        <w:t xml:space="preserve">Điều 1. </w:t>
      </w:r>
      <w:r>
        <w:rPr>
          <w:b w:val="0"/>
          <w:i w:val="0"/>
        </w:rPr>
        <w:t>Tiếp nhận và chuyển giao nguyên trạng Công ty Dệt kim Hoàng Thị Loan thuộc Uỷ ban Nhân dân tỉnh Nghệ An làm thành viên hạch toán độc lập của Tổng Công ty Dệt-May Việt Nam .</w:t>
      </w:r>
      <w:r>
        <w:rPr>
          <w:b w:val="0"/>
          <w:i w:val="0"/>
        </w:rPr>
        <w:br/>
      </w:r>
      <w:r>
        <w:rPr>
          <w:b/>
          <w:i w:val="0"/>
        </w:rPr>
        <w:t xml:space="preserve">Điều 2. </w:t>
      </w:r>
      <w:r>
        <w:rPr>
          <w:b w:val="0"/>
          <w:i w:val="0"/>
        </w:rPr>
        <w:t>Tổng Giám đốc Tổng Công ty Dệt-May Việt Nam tổ chức tiếp nhận Công ty Dệt kim Hoàng Thị Loan theo đúng thủ tục quy định của Nhà nước.</w:t>
      </w:r>
      <w:r>
        <w:rPr>
          <w:b w:val="0"/>
          <w:i w:val="0"/>
        </w:rPr>
        <w:br/>
      </w:r>
      <w:r>
        <w:rPr>
          <w:b/>
          <w:i w:val="0"/>
        </w:rPr>
        <w:t xml:space="preserve">Điều 3. </w:t>
      </w:r>
      <w:r>
        <w:rPr>
          <w:b w:val="0"/>
          <w:i w:val="0"/>
        </w:rPr>
        <w:t>Quyết định này có hiệu lực sau 15 ngày kể từ ngày ký.</w:t>
      </w:r>
      <w:r>
        <w:rPr>
          <w:b w:val="0"/>
          <w:i w:val="0"/>
        </w:rPr>
        <w:br/>
      </w:r>
      <w:r>
        <w:rPr>
          <w:b w:val="0"/>
          <w:i w:val="0"/>
        </w:rPr>
        <w:t>Chánh Văn phòng Bộ, Chánh Thanh tra Bộ, các Vụ trưởng, Cục trưởng thuộc Bộ, Chủ tịch Hội đồng quản trị, Tổng Giám đốc Tổng Công ty Dệt - May Việt Nam và Giám đốc Công ty Dệt kim Hoàng Thị Loan có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Lê Huy Côn</w:t>
        <w:b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Lê Huy Côn</w:t>
              <w:b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