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36/2002/CT-UB Về việc tăng cường quản lý thu thuế đối với hoạt động SXKD dược phẩm và vật tư y tế trên địa bàn tỉnh Nghệ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 TỈNH NGHỆ AN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CHỈ THỊ</w:t>
      </w:r>
    </w:p>
    <w:p>
      <w:r>
        <w:rPr>
          <w:b/>
          <w:i w:val="0"/>
        </w:rPr>
        <w:t>Về việc tăng cường quản lý thu thuế đối với hoạt động SXKD</w:t>
      </w:r>
    </w:p>
    <w:p>
      <w:r>
        <w:rPr>
          <w:b/>
          <w:i w:val="0"/>
        </w:rPr>
        <w:t>dược phẩm và vật tư y tế trên địa bàn tỉnh Nghệ An</w:t>
      </w:r>
    </w:p>
    <w:p>
      <w:r>
        <w:rPr>
          <w:b w:val="0"/>
          <w:i w:val="0"/>
        </w:rPr>
        <w:t>_______________________</w:t>
      </w:r>
    </w:p>
    <w:p>
      <w:r>
        <w:rPr>
          <w:b w:val="0"/>
          <w:i w:val="0"/>
        </w:rPr>
        <w:t xml:space="preserve"> Theo báo cáo kết quả khảo sát, điều tra thực tế của các cơ sở hoạt động SXKD dược phẩm và vật tư y tế năm 2001 trên địa bàn tỉnh số 948 CT/NVT ngày 25 tháng 9/2002 của Cục thuế Nghệ An thì tình trạng thất thu thuế và trốn lậu thuế trong kinh doanh dược phẩm diễn ra trên diện rộng, phổ hiến nhất là thất thu trong các công ty TNHH, DNTN, các hộ nộp khấu trừ thuế ở thành phố và thị xã.</w:t>
      </w:r>
    </w:p>
    <w:p>
      <w:r>
        <w:rPr>
          <w:b w:val="0"/>
          <w:i w:val="0"/>
        </w:rPr>
        <w:t>Để khắc phục tồn tại trên, hoàn thành vượt mức nhiệm vụ thu ngân sách Nhà nước giao, tăng cường quản lý và chống thất thu thuế, đảm bảo bình đẳng giữa các doanh nghiệp NQĐ với doanh nghiệp Nhà nước và các hộ kinh doanh cá thể. UBND tỉnh yêu cầu thủ trưởng các ngành, các cấp có liên quan thực hiện tốt một số nội dung, biện pháp chủ yếu sau:</w:t>
      </w:r>
    </w:p>
    <w:p>
      <w:r>
        <w:rPr>
          <w:b w:val="0"/>
          <w:i w:val="0"/>
        </w:rPr>
        <w:t>1. Giao Sở Kế hoạch và Đầu tư phối hợp Sở Y tế, và các ngành có liên quan để quản lý chặt chẽ việc cấp giấy phép kinh doanh và kinh doanh theo giấy phép của các cơ sở SXKD và các chi nhánh kinh doanh dược phẩm, vật tư y tế. Những công ty TNHH, DNTN kê khai chưa đúng các căn cứ tính thuế và chưa thực hiện đầy đủ chế độ kế toán, hóa đơn chứng từ, khi cần thiết cho phép thu hồi giấy phép kinh doanh. Việc kê khai nộp thuế GTGT và thuê TNDN của các doanh nghiệp kinh doanh dược và vật tư y tế thấp hơn tỷ lệ nộp thuế trên doanh số đối với DNNN trên địa bàn (1,2%) thì chuyển sang thu thuế ấn định tỷ lệ GTGT và tỷ lệ TNDN.</w:t>
      </w:r>
    </w:p>
    <w:p>
      <w:r>
        <w:rPr>
          <w:b w:val="0"/>
          <w:i w:val="0"/>
        </w:rPr>
        <w:t>2. Giao Sở Y tế phối hợp với Sở Tài chính Vật giá, Cục thuế Nghệ An chỉ đạo Công ty cổ phần dược vật tư y tế, Công ty vật tư y tế dược phẩm Nghệ An, các Trung tâm y tế cấp tỉnh, cấp huyện, Bệnh viện QK4, bệnh viện các ngành, các chi nhánh ngoại tỉnh thực hiện tốt chế độ kế toán thống kê, hóa đơn chứng từ do Bộ Tài chính quy định, kê khai nộp thuế sát thực tế, đúng luật; Chú ý quản lý thu thuế đối với các hiệu thuốc, mậu dịch viên khoán xen, khoán gọn, hộ cá thể kinh doanh dược giao Chi cục thuế quản lý thu thuế các đối tượng trên như hộ cá thể, các chi nhánh ngoại tỉnh và chi nhánh liên doanh với các công ty dược Nghệ An tạm nộp thuế TNDN cho NSNN tỉnh Nghệ An hàng tháng tỉnh trên chênh lệch để lại (coi như hoa hồng đại lý)</w:t>
      </w:r>
    </w:p>
    <w:p>
      <w:r>
        <w:rPr>
          <w:b w:val="0"/>
          <w:i w:val="0"/>
        </w:rPr>
        <w:t>3. Giao Cục Thuế Nghệ An phối hợp với các ngành chức năng và chính quyền các cấp chỉ đạo các chi cục thuế thường xuyên kiểm tra, đối chiếu hóa đơn, chứng từ mua, bán của các công ty TNHH, DNTN, hộ khấu trừ và các cơ sở kinh doanh dược phẩm và vật tư y tế với các cơ sở trong và ngoài tỉnh có liên quan, nhằm phát hiện trốn lậu doanh số, trốn lậu thuế, xử lý truy thu đủ thuế và phạt thuế theo luật định.</w:t>
      </w:r>
    </w:p>
    <w:p>
      <w:r>
        <w:rPr>
          <w:b w:val="0"/>
          <w:i w:val="0"/>
        </w:rPr>
        <w:t>Đối với hộ kinh doanh dược phẩm vật tư y tế kê khai doanh số ấn định tỷ lệ GTGT và tỷ lệ TNDN theo quyết định số 204 CT/QĐ ngày 18/7/2001 của Cục Thuế Nghệ An mà chưa sát thực tế kinh doanh, thì hướng dẫn hộ kinh doanh kê khai lại, tối thiểu phải đạt bằng doanh số điều tra để ấn định thuế theo Luật. Lập bộ ổn định thuế từ 3 đến 6 tháng hoặc cả năm theo luật định.</w:t>
      </w:r>
    </w:p>
    <w:p>
      <w:r>
        <w:rPr>
          <w:b w:val="0"/>
          <w:i w:val="0"/>
        </w:rPr>
        <w:t>Cục Thuế Nghệ An phối hợp với các ngành chức năng có văn bản hướng dẫn cụ thể theo nội dung Chỉ thị này để các cơ sở kinh doanh dược vật tư y tế trên địa bàn tỉnh thực hiện. Hàng quý báo cáo tình hình triển khai và kết quả công tác quản lý kinh doanh và thu thuế kinh doanh dược phẩm và vật tư y tế về UBND tỉnh xem xét và xử lý kịp thời các vướng mắc.</w:t>
      </w:r>
    </w:p>
    <w:p>
      <w:r>
        <w:rPr>
          <w:b w:val="0"/>
          <w:i w:val="0"/>
        </w:rPr>
        <w:t>Yêu cầu thủ trưởng các ngành, Cục Thuế, Sở Kế hoạch và Đầu tư, Sở Tài chính Vật giá, Sở Y tế, Sở Thương mại, Chi cục quản lý thị trường, Chủ tịch UBND các huyện, thành phố, thị xã và các đối tượng SXKD, chi nhánh ngoại tỉnh kinh doanh dược phẩm và vật tư y tế trên địa bàn tỉnh Nghệ An thực hiện nghiêm túc Chỉ thị này.</w:t>
      </w:r>
    </w:p>
    <w:p>
      <w:r>
        <w:rPr>
          <w:b w:val="0"/>
          <w:i w:val="0"/>
        </w:rPr>
        <w:t>Các cơ quan thông tin đại chúng, đài phát thanh truyền hình, phổ biến rộng rãi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UBND TỈNH NGHỆ AN</w:t>
            </w:r>
            <w:r>
              <w:br/>
            </w:r>
            <w:r>
              <w:rPr>
                <w:b/>
                <w:i/>
              </w:rPr>
              <w:t>KT. CHỦ TỊCH</w:t>
            </w:r>
            <w:r>
              <w:rPr>
                <w:b w:val="0"/>
                <w:i w:val="0"/>
              </w:rPr>
              <w:br/>
            </w:r>
            <w:r>
              <w:rPr>
                <w:b/>
                <w:i/>
              </w:rPr>
              <w:t>PHÓ CHỦ TỊCH</w:t>
            </w:r>
            <w:r>
              <w:rPr>
                <w:b w:val="0"/>
                <w:i w:val="0"/>
              </w:rPr>
              <w:br/>
            </w:r>
            <w:r>
              <w:rPr>
                <w:b/>
                <w:i/>
              </w:rPr>
              <w:t>(Đã ký)</w:t>
            </w:r>
            <w:r>
              <w:rPr>
                <w:b w:val="0"/>
                <w:i w:val="0"/>
              </w:rPr>
              <w:br/>
            </w:r>
            <w:r>
              <w:rPr>
                <w:b/>
                <w:i/>
              </w:rPr>
              <w:t xml:space="preserve"> </w:t>
            </w:r>
            <w:r>
              <w:rPr>
                <w:b w:val="0"/>
                <w:i w:val="0"/>
              </w:rPr>
              <w:br/>
            </w:r>
            <w:r>
              <w:rPr>
                <w:b/>
                <w:i w:val="0"/>
              </w:rPr>
              <w:t>Nguyễn Văn 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