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36/CP Về việc sửa đổi, bổ sung một số điều khoản của Quy chế ban hành kèm theo Nghị định 88/CP (14/12/1995) và Nghị định 194/CP (31/12/1994) của Chính phủ</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36/CP</w:t>
      </w:r>
      <w:r>
        <w:rPr>
          <w:b w:val="0"/>
          <w:i w:val="0"/>
        </w:rPr>
        <w:br/>
      </w:r>
      <w:r>
        <w:rPr>
          <w:b w:val="0"/>
          <w:i w:val="0"/>
        </w:rPr>
        <w:br/>
      </w:r>
      <w:r>
        <w:rPr>
          <w:b w:val="0"/>
          <w:i/>
        </w:rPr>
        <w:br/>
      </w:r>
      <w:r>
        <w:rPr>
          <w:b w:val="0"/>
          <w:i/>
        </w:rPr>
        <w:t>Hà Nội, ngày 19 tháng 6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36/CP</w:t>
      </w:r>
      <w:r>
        <w:rPr>
          <w:b w:val="0"/>
          <w:i w:val="0"/>
        </w:rPr>
        <w:br/>
      </w:r>
      <w:r>
        <w:rPr>
          <w:b w:val="0"/>
          <w:i w:val="0"/>
        </w:rPr>
        <w:br/>
      </w:r>
      <w:r>
        <w:rPr>
          <w:b w:val="0"/>
          <w:i/>
        </w:rPr>
        <w:br/>
      </w:r>
      <w:r>
        <w:rPr>
          <w:b w:val="0"/>
          <w:i/>
        </w:rPr>
        <w:t>Hà Nội, ngày 19 tháng 6 năm 1996</w:t>
      </w:r>
      <w:r>
        <w:rPr>
          <w:b w:val="0"/>
          <w:i/>
        </w:rPr>
        <w:br/>
      </w:r>
      <w:r>
        <w:rPr>
          <w:b w:val="0"/>
          <w:i w:val="0"/>
        </w:rPr>
        <w:br/>
      </w:r>
    </w:p>
    <w:p>
      <w:pPr>
        <w:jc w:val="center"/>
      </w:pPr>
      <w:r>
        <w:rPr>
          <w:b w:val="0"/>
          <w:i w:val="0"/>
        </w:rPr>
        <w:br/>
      </w:r>
      <w:r>
        <w:rPr>
          <w:b w:val="0"/>
          <w:i w:val="0"/>
        </w:rPr>
        <w:t>Số: 36/CP</w:t>
      </w:r>
      <w:r>
        <w:rPr>
          <w:b w:val="0"/>
          <w:i w:val="0"/>
        </w:rPr>
        <w:br/>
      </w:r>
    </w:p>
    <w:p>
      <w:pPr>
        <w:jc w:val="center"/>
      </w:pPr>
      <w:r>
        <w:rPr>
          <w:b w:val="0"/>
          <w:i w:val="0"/>
        </w:rPr>
        <w:br/>
      </w:r>
      <w:r>
        <w:rPr>
          <w:b w:val="0"/>
          <w:i w:val="0"/>
        </w:rPr>
        <w:t>Hà Nội, ngày 19 tháng 6 năm 1996</w:t>
      </w:r>
      <w:r>
        <w:rPr>
          <w:b w:val="0"/>
          <w:i w:val="0"/>
        </w:rPr>
        <w:br/>
      </w:r>
    </w:p>
    <w:p>
      <w:r>
        <w:rPr>
          <w:b/>
          <w:i w:val="0"/>
        </w:rPr>
        <w:t>NGHỊ ĐỊNH</w:t>
      </w:r>
    </w:p>
    <w:p>
      <w:r>
        <w:rPr>
          <w:b/>
          <w:i w:val="0"/>
        </w:rPr>
        <w:t>Số 36-CP của chính phủ về việc sửa đổi, bổ sung một số điều khoản của quy chế ban hành kèm theo nghị định 88/CP (14/12/1995) và nghị định 194/CP (31/12/1994) của Chính phủ</w:t>
      </w:r>
    </w:p>
    <w:p>
      <w:r>
        <w:rPr>
          <w:b/>
          <w:i w:val="0"/>
        </w:rPr>
        <w:t>_______________</w:t>
      </w:r>
    </w:p>
    <w:p>
      <w:r>
        <w:rPr>
          <w:b/>
          <w:i w:val="0"/>
        </w:rPr>
        <w:t>CHÍNH PHỦ</w:t>
      </w:r>
    </w:p>
    <w:p>
      <w:pPr>
        <w:jc w:val="both"/>
      </w:pPr>
      <w:r>
        <w:rPr>
          <w:b w:val="0"/>
          <w:i/>
        </w:rPr>
        <w:t>Căn cứ Luật tổ chức Chính phủ ngày 30 tháng 09 năm 1992;</w:t>
      </w:r>
    </w:p>
    <w:p>
      <w:pPr>
        <w:jc w:val="both"/>
      </w:pPr>
      <w:r>
        <w:rPr>
          <w:b w:val="0"/>
          <w:i/>
        </w:rPr>
        <w:t>Theo đề nghị của Bộ trưởng Bộ Văn hoá - Thông tin (Tờ trình số 29/VHTT ngày 20 tháng 05 năm 1996),</w:t>
      </w:r>
    </w:p>
    <w:p>
      <w:pPr>
        <w:jc w:val="center"/>
      </w:pPr>
      <w:r>
        <w:rPr>
          <w:b/>
          <w:i w:val="0"/>
        </w:rPr>
        <w:t>NGHỊ ĐỊNH:</w:t>
      </w:r>
    </w:p>
    <w:p>
      <w:pPr>
        <w:jc w:val="both"/>
      </w:pPr>
      <w:r>
        <w:rPr>
          <w:b/>
          <w:i w:val="0"/>
        </w:rPr>
        <w:t xml:space="preserve">Điều 1. </w:t>
      </w:r>
      <w:r>
        <w:rPr>
          <w:b w:val="0"/>
          <w:i w:val="0"/>
        </w:rPr>
        <w:t>- Ngay sửa đổi, bổ sung một số điều của Quy chế lưu hành, kinh doanh phim, băng đĩa hình, băng đĩa nhạc; bán, cho thuê xuất bản phẩm; hoạt động văn hoá và dịch vụ văn hoá nơi công cộng; quảng cáo, viết, đặt biển hiệu ban hành kèm theo Nghị định 87/CP ngày 12/12/1995 của Chính phủ.</w:t>
      </w:r>
    </w:p>
    <w:p>
      <w:pPr>
        <w:jc w:val="both"/>
      </w:pPr>
      <w:r>
        <w:rPr>
          <w:b w:val="0"/>
          <w:i w:val="0"/>
        </w:rPr>
        <w:t>1- Đoạn đầu của Điều 22 được sửa lại như sau:</w:t>
      </w:r>
    </w:p>
    <w:p>
      <w:pPr>
        <w:jc w:val="both"/>
      </w:pPr>
      <w:r>
        <w:rPr>
          <w:b w:val="0"/>
          <w:i w:val="0"/>
        </w:rPr>
        <w:t>"Khách sạn, Nhà văn hoá, Câu lạc bộ, Trung tâm văn hóa được phép tổ chức vũ trường để kinh doanh phải được thực hiện các quy định sau".</w:t>
      </w:r>
    </w:p>
    <w:p>
      <w:pPr>
        <w:jc w:val="both"/>
      </w:pPr>
      <w:r>
        <w:rPr>
          <w:b w:val="0"/>
          <w:i w:val="0"/>
        </w:rPr>
        <w:t>2- Điều 23 được sửa đổi như sau:</w:t>
      </w:r>
    </w:p>
    <w:p>
      <w:pPr>
        <w:jc w:val="both"/>
      </w:pPr>
      <w:r>
        <w:rPr>
          <w:b w:val="0"/>
          <w:i w:val="0"/>
        </w:rPr>
        <w:t>Khoản 1: "Phòng Karaoke phải có diện tích từ 20 m2 trở lên. Đối với các phòng karaoke được cấp giấy phép hoạt động trước ngày ban hành Nghị định 87/CP của Chính phủ phải có diện tích từ 14 m2 trở lên".</w:t>
      </w:r>
    </w:p>
    <w:p>
      <w:pPr>
        <w:jc w:val="both"/>
      </w:pPr>
      <w:r>
        <w:rPr>
          <w:b w:val="0"/>
          <w:i w:val="0"/>
        </w:rPr>
        <w:t>Thêm khoản 5 vào Điều 23:</w:t>
      </w:r>
    </w:p>
    <w:p>
      <w:pPr>
        <w:jc w:val="both"/>
      </w:pPr>
      <w:r>
        <w:rPr>
          <w:b w:val="0"/>
          <w:i w:val="0"/>
        </w:rPr>
        <w:t>"Các điểm karaoke hoạt động ở nông thôn, vùng dân cư không tập trung, phải bảo đảm các điều kiện quy định tại các khoản 2, 4 của điều này".</w:t>
      </w:r>
    </w:p>
    <w:p>
      <w:pPr>
        <w:jc w:val="both"/>
      </w:pPr>
      <w:r>
        <w:rPr>
          <w:b w:val="0"/>
          <w:i w:val="0"/>
        </w:rPr>
        <w:t>3- Điều 30 được sửa đổi, bổ sung như sau:</w:t>
      </w:r>
    </w:p>
    <w:p>
      <w:pPr>
        <w:jc w:val="both"/>
      </w:pPr>
      <w:r>
        <w:rPr>
          <w:b w:val="0"/>
          <w:i w:val="0"/>
        </w:rPr>
        <w:t xml:space="preserve">"a) Biển hiệu phải có các nội dung sau đây: </w:t>
      </w:r>
    </w:p>
    <w:p>
      <w:pPr>
        <w:jc w:val="both"/>
      </w:pPr>
      <w:r>
        <w:rPr>
          <w:b w:val="0"/>
          <w:i w:val="0"/>
        </w:rPr>
        <w:t>- Tên cơ quan chủ quản trực tiếp.</w:t>
      </w:r>
    </w:p>
    <w:p>
      <w:pPr>
        <w:jc w:val="both"/>
      </w:pPr>
      <w:r>
        <w:rPr>
          <w:b w:val="0"/>
          <w:i w:val="0"/>
        </w:rPr>
        <w:t>- Tên gọi.</w:t>
      </w:r>
    </w:p>
    <w:p>
      <w:pPr>
        <w:jc w:val="both"/>
      </w:pPr>
      <w:r>
        <w:rPr>
          <w:b w:val="0"/>
          <w:i w:val="0"/>
        </w:rPr>
        <w:t>- Địa chỉ giao dịch.</w:t>
      </w:r>
    </w:p>
    <w:p>
      <w:pPr>
        <w:jc w:val="both"/>
      </w:pPr>
      <w:r>
        <w:rPr>
          <w:b w:val="0"/>
          <w:i w:val="0"/>
        </w:rPr>
        <w:t>- Cơ sở sản xuất dịch vụ phải ghi rõ ngành nghề kinh doanh chính. Đối với Công Ty, Doanh nghiệp tư nhân, không ghi cơ quan chủ quản, mà ghi: Doanh nghiệp tư nhân, Công ty cổ phần hay Công ty trách nhiệm hữu hạn.</w:t>
      </w:r>
    </w:p>
    <w:p>
      <w:pPr>
        <w:jc w:val="both"/>
      </w:pPr>
      <w:r>
        <w:rPr>
          <w:b w:val="0"/>
          <w:i w:val="0"/>
        </w:rPr>
        <w:t>b) Biểu trưng của các cá nhân, tổ chức đã đăng ký được vẽ, gắn trên biển hiệu".</w:t>
      </w:r>
    </w:p>
    <w:p>
      <w:pPr>
        <w:jc w:val="both"/>
      </w:pPr>
      <w:r>
        <w:rPr>
          <w:b w:val="0"/>
          <w:i w:val="0"/>
        </w:rPr>
        <w:t>4- Điều 31 được sửa đổi như sau:</w:t>
      </w:r>
    </w:p>
    <w:p>
      <w:pPr>
        <w:jc w:val="both"/>
      </w:pPr>
      <w:r>
        <w:rPr>
          <w:b w:val="0"/>
          <w:i w:val="0"/>
        </w:rPr>
        <w:t>"Biển hiệu của các tổ chức kinh tế nước ngoài hoặc liên doanh với nước ngoài phải có nội dung theo quy định tại Điều 30 Quy chế này. Tên riêng, tên giao dịch quốc tế bằng tiếng nước ngoài ghi trong quyết định thành lập của cơ quan Nhà nước có thẩm quyền có thể viết chữ nước ngoài với kích thước lớn hơn chữ Việt Nam, nhưng không quá 2 lần khổ chữ Việt Nam".</w:t>
      </w:r>
    </w:p>
    <w:p>
      <w:pPr>
        <w:jc w:val="both"/>
      </w:pPr>
      <w:r>
        <w:rPr>
          <w:b/>
          <w:i w:val="0"/>
        </w:rPr>
        <w:t>Điều 2. -</w:t>
      </w:r>
      <w:r>
        <w:rPr>
          <w:b w:val="0"/>
          <w:i w:val="0"/>
        </w:rPr>
        <w:t xml:space="preserve"> Sửa đổi điểm d, khoản 2 Điều 28, Nghị định 88/CP ban hành ngày 14/12/1995 của Chính phủ quy định về xử phạt vi phạm hành chính trong các hoạt động văn hoá, dịch vụ văn hoá và phòng chống một số tệ nạn xã hội, như sau:</w:t>
      </w:r>
    </w:p>
    <w:p>
      <w:pPr>
        <w:jc w:val="both"/>
      </w:pPr>
      <w:r>
        <w:rPr>
          <w:b w:val="0"/>
          <w:i w:val="0"/>
        </w:rPr>
        <w:t>d) "Biển hiệu của các tổ chức kinh tế có tên viết tắt, tên giao dịch quốc tế, tên bằng tiếng nước ngoài mà đặt phía trên tên bằng tiếng Việt hoặc có khổ chữ lớn quá 2 lần khổ chữ bằng tiếng Việt".</w:t>
      </w:r>
    </w:p>
    <w:p>
      <w:pPr>
        <w:jc w:val="both"/>
      </w:pPr>
      <w:r>
        <w:rPr>
          <w:b/>
          <w:i w:val="0"/>
        </w:rPr>
        <w:t xml:space="preserve">Điều 3. </w:t>
      </w:r>
      <w:r>
        <w:rPr>
          <w:b w:val="0"/>
          <w:i w:val="0"/>
        </w:rPr>
        <w:t>- Sửa đổi, bổ sung Điều 5, Nghị định 194/CP ban hành ngày 31 tháng 12 năm 1994 của Chính phủ về hoạt động quảng cáo trên lãnh thổ Việt Nam.</w:t>
      </w:r>
    </w:p>
    <w:p>
      <w:pPr>
        <w:jc w:val="both"/>
      </w:pPr>
      <w:r>
        <w:rPr>
          <w:b w:val="0"/>
          <w:i w:val="0"/>
        </w:rPr>
        <w:t>Điểm c, khoản 3 được sửa đổi như sau:</w:t>
      </w:r>
    </w:p>
    <w:p>
      <w:pPr>
        <w:jc w:val="both"/>
      </w:pPr>
      <w:r>
        <w:rPr>
          <w:b w:val="0"/>
          <w:i w:val="0"/>
        </w:rPr>
        <w:t>"Những quảng cáo có nhãn hiệu hàng hoá viết tắt và viết bằng tiếng nước ngoài; tên giao dịch quốc tế của các cơ sở sản xuất, kinh doanh dịch vụ đã được các cơ quan Nhà nước có thẩm quyền cho phép; những từ ngữ đã được quốc tế hoá hoặc những từ ngữ mà tiếng Việt không thay thế được thì được viết to hơn phần chữ Việt Nam, nhưng không quá 2 lần khổ chữ Việt Nam, đồng thời phải có phần chữ Việt Nam viết trên phần chữ nước ngoài". Bỏ điểm d khoản 3 Điều 5 Nghị định này.</w:t>
      </w:r>
    </w:p>
    <w:p>
      <w:pPr>
        <w:jc w:val="both"/>
      </w:pPr>
      <w:r>
        <w:rPr>
          <w:b/>
          <w:i w:val="0"/>
        </w:rPr>
        <w:t xml:space="preserve">Điều 4. </w:t>
      </w:r>
      <w:r>
        <w:rPr>
          <w:b w:val="0"/>
          <w:i w:val="0"/>
        </w:rPr>
        <w:t>- Nghị định này có hiệu lực từ ngày ban hành. Các văn bản ban hành trước đây có nội dung trái với Nghị định này đều bãi bỏ.</w:t>
      </w:r>
    </w:p>
    <w:p>
      <w:pPr>
        <w:jc w:val="both"/>
      </w:pPr>
      <w:r>
        <w:rPr>
          <w:b/>
          <w:i w:val="0"/>
        </w:rPr>
        <w:t xml:space="preserve">Điều 5. </w:t>
      </w:r>
      <w:r>
        <w:rPr>
          <w:b w:val="0"/>
          <w:i w:val="0"/>
        </w:rPr>
        <w:t>- Bộ trưởng các Bộ: Văn hoá - Thông tin, Tài chính, Y tế, Lao động - Thương binh và Xã hội, Tổng cục Du lịch chịu trách nhiệm hướng dẫn thi hành Nghị định này.</w:t>
      </w:r>
    </w:p>
    <w:p>
      <w:pPr>
        <w:jc w:val="both"/>
      </w:pPr>
      <w:r>
        <w:rPr>
          <w:b/>
          <w:i w:val="0"/>
        </w:rPr>
        <w:t xml:space="preserve">Điều 6. </w:t>
      </w:r>
      <w:r>
        <w:rPr>
          <w:b w:val="0"/>
          <w:i w:val="0"/>
        </w:rPr>
        <w:t>- Các Bộ trưởng, Thủ trưởng cơ quan ngang Bộ, Thủ trưởng cơ quan thuộc Chính phủ và Chủ tịch Uỷ ban nhân dân các tỉnh, thành phố trực thuộc Trung ương chịu trách nhiệm thi hành Nghị định này.</w:t>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