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3770/2006/QĐ-BTC về việc giao dự toán thu, chi ngân sách nhà nước năm 2007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_____________</w:t>
            </w:r>
            <w:r>
              <w:rPr>
                <w:b w:val="0"/>
                <w:i w:val="0"/>
              </w:rPr>
              <w:br/>
            </w:r>
            <w:r>
              <w:rPr>
                <w:b w:val="0"/>
                <w:i w:val="0"/>
              </w:rPr>
              <w:br/>
            </w:r>
            <w:r>
              <w:rPr>
                <w:b w:val="0"/>
                <w:i w:val="0"/>
              </w:rPr>
              <w:t>Số: 3770/2006/QĐ-BTC</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______________________</w:t>
            </w:r>
            <w:r>
              <w:rPr>
                <w:b w:val="0"/>
                <w:i w:val="0"/>
              </w:rPr>
              <w:br/>
            </w:r>
            <w:r>
              <w:rPr>
                <w:b w:val="0"/>
                <w:i/>
              </w:rPr>
              <w:t>Hà Nội, ngày 16 tháng 11 năm 2006</w:t>
            </w:r>
          </w:p>
        </w:tc>
      </w:tr>
    </w:tbl>
    <w:p>
      <w:pPr>
        <w:jc w:val="center"/>
      </w:pPr>
      <w:r>
        <w:rPr>
          <w:b/>
          <w:i w:val="0"/>
        </w:rPr>
        <w:t>QUYẾT ĐỊNH</w:t>
      </w:r>
    </w:p>
    <w:p>
      <w:pPr>
        <w:jc w:val="center"/>
      </w:pPr>
      <w:r>
        <w:rPr>
          <w:b/>
          <w:i w:val="0"/>
        </w:rPr>
        <w:t>Về việc giao dự toán thu, chi ngân sách nhà nước năm 2007</w:t>
      </w:r>
    </w:p>
    <w:p>
      <w:pPr>
        <w:jc w:val="center"/>
      </w:pPr>
      <w:r>
        <w:rPr>
          <w:b/>
          <w:i w:val="0"/>
        </w:rPr>
        <w:t>Bộ trưởng Bộ tài chính</w:t>
      </w:r>
    </w:p>
    <w:p>
      <w:pPr>
        <w:jc w:val="center"/>
      </w:pPr>
      <w:r>
        <w:rPr>
          <w:b w:val="0"/>
          <w:i w:val="0"/>
        </w:rPr>
        <w:t>_______________________</w:t>
      </w:r>
    </w:p>
    <w:p>
      <w:r>
        <w:rPr>
          <w:b w:val="0"/>
          <w:i/>
        </w:rPr>
        <w:t>Căn cứ Nghị quyết số 68/2006/QH11 ngày 31 tháng 10 năm 2006 của Quốc hội khóa XI, kỳ họp thứ mười về dự toán ngân sách nhà nước năm 2007;</w:t>
      </w:r>
    </w:p>
    <w:p>
      <w:r>
        <w:rPr>
          <w:b w:val="0"/>
          <w:i/>
        </w:rPr>
        <w:t>Căn cứ Nghị quyết số 69/2006/QH11 ngày 03 tháng 11 năm 2006 của Quốc hội khóa XI, kỳ họp thứ mười về phân bổ ngân sách trung ương năm 2007;</w:t>
      </w:r>
    </w:p>
    <w:p>
      <w:r>
        <w:rPr>
          <w:b w:val="0"/>
          <w:i/>
        </w:rPr>
        <w:t>Căn cứ Quyết định số 1506/QĐ-TTg ngày 14 tháng 11 năm 2006 của Thủ tướng Chính phủ về giao dự toán ngân sách nhà nước năm 2007;</w:t>
      </w:r>
    </w:p>
    <w:p>
      <w:r>
        <w:rPr>
          <w:b w:val="0"/>
          <w:i/>
        </w:rPr>
        <w:t>Theo đề nghị của Vụ trưởng Vụ Ngân sách nhà nước,</w:t>
      </w:r>
    </w:p>
    <w:p>
      <w:pPr>
        <w:jc w:val="center"/>
      </w:pPr>
      <w:r>
        <w:rPr>
          <w:b/>
          <w:i w:val="0"/>
        </w:rPr>
        <w:t>QUYẾT ĐỊNH:</w:t>
      </w:r>
    </w:p>
    <w:p>
      <w:r>
        <w:rPr>
          <w:b/>
          <w:i w:val="0"/>
        </w:rPr>
        <w:t>Điều 1.</w:t>
      </w:r>
      <w:r>
        <w:rPr>
          <w:b w:val="0"/>
          <w:i w:val="0"/>
        </w:rPr>
        <w:t xml:space="preserve"> Giao các Bộ, cơ quan ngang Bộ, cơ quan thuộc Chính phủ, cơ quan khác ở Trung ương, Tập đoàn kinh tế, Tổng công ty 91 chỉ tiêu dự toán thu, chi ngân sách nhà nước năm 2007 (theo biểu đính kèm), bao gồm cả các khoản phải thu hồi vốn ngân sách nhà nước đã ứng trước theo quyết định của cấp có thẩm quyền trong năm 2007.</w:t>
      </w:r>
    </w:p>
    <w:p>
      <w:r>
        <w:rPr>
          <w:b/>
          <w:i w:val="0"/>
        </w:rPr>
        <w:t>Điều 2.</w:t>
      </w:r>
      <w:r>
        <w:rPr>
          <w:b w:val="0"/>
          <w:i w:val="0"/>
        </w:rPr>
        <w:t xml:space="preserve"> Căn cứ dự toán thu, chi ngân sách nhà nước năm 2007 được giao, Bộ trưởng các Bộ, Thủ trưởng cơ quan ngang Bộ, Thủ trưởng cơ quan thuộc Chính phủ, cơ quan khác ở Trung ương phân bổ dự toán thu, chi ngân sách nhà nước cho các đơn vị trực thuộc, đơn vị cấp dưới đảm bảo dự toán ngân sách nhà nước năm 2007 giao đến từng đơn vị sử dụng ngân sách đúng nội dung và xong trước ngày 31 tháng 12 năm 2006 theo quy định của Luật ngân sách nhà nước; trong đó bố trí đảm bảo nguồn thực hiện điều chỉnh mức lương tối thiểu chung năm 2007 như sau:</w:t>
      </w:r>
    </w:p>
    <w:p>
      <w:r>
        <w:rPr>
          <w:b w:val="0"/>
          <w:i w:val="0"/>
        </w:rPr>
        <w:t>- Thực hiện tiết kiệm 10% số chi thường xuyên (trừ tiền lương và các khoản có tính chất lương).</w:t>
      </w:r>
    </w:p>
    <w:p>
      <w:r>
        <w:rPr>
          <w:b w:val="0"/>
          <w:i w:val="0"/>
        </w:rPr>
        <w:t>- Đối với các cơ quan, đơn vị có nguồn thu từ phí, lệ phí sử dụng tối thiểu 40% số thu được để lại theo chế độ năm 2007 (riêng ngành y tế sử dụng tối thiểu 35%, sau khi trừ chi phí thuốc, máu, dịch truyền, hóa chất).</w:t>
      </w:r>
    </w:p>
    <w:p>
      <w:r>
        <w:rPr>
          <w:b/>
          <w:i w:val="0"/>
        </w:rPr>
        <w:t>Điều 3.</w:t>
      </w:r>
      <w:r>
        <w:rPr>
          <w:b w:val="0"/>
          <w:i w:val="0"/>
        </w:rPr>
        <w:t xml:space="preserve"> Việc giải ngân, kiểm soát chi đối với các khoản chi từ nguồn vốn vay và viện trợ thực hiện theo nguyên tắc:</w:t>
      </w:r>
    </w:p>
    <w:p>
      <w:r>
        <w:rPr>
          <w:b w:val="0"/>
          <w:i w:val="0"/>
        </w:rPr>
        <w:t>- Đối với dự toán chi từ nguồn vốn vay bằng tiền: Thực hiện đúng dự toán được giao và cơ chế thực hiện như nguồn vốn trong nước.</w:t>
      </w:r>
    </w:p>
    <w:p>
      <w:r>
        <w:rPr>
          <w:b w:val="0"/>
          <w:i w:val="0"/>
        </w:rPr>
        <w:t>- Đối với dự toán chi từ nguồn vốn vay, viện trợ theo phương thức ghi thu, ghi chi ngân sách nhà nước: Thực hiện theo tiến độ giải ngân thực tế của từng dự án.</w:t>
      </w:r>
    </w:p>
    <w:p>
      <w:r>
        <w:rPr>
          <w:b/>
          <w:i w:val="0"/>
        </w:rPr>
        <w:t>Điều 4.</w:t>
      </w:r>
      <w:r>
        <w:rPr>
          <w:b w:val="0"/>
          <w:i w:val="0"/>
        </w:rPr>
        <w:t xml:space="preserve"> Quyết định này có hiệu lực từ ngày ký.</w:t>
      </w:r>
    </w:p>
    <w:p>
      <w:r>
        <w:rPr>
          <w:b/>
          <w:i w:val="0"/>
        </w:rPr>
        <w:t>Điều 5.</w:t>
      </w:r>
      <w:r>
        <w:rPr>
          <w:b w:val="0"/>
          <w:i w:val="0"/>
        </w:rPr>
        <w:t xml:space="preserve"> Bộ trưởng các Bộ, Thủ trưởng cơ quan ngang Bộ, Thủ trưởng cơ quan thuộc Chính phủ, cơ quan khác ở Trung ương và Tổng giám đốc các Tập đoàn kinh tế, Tổng công ty 91 chịu trách nhiệm tổ chức thực hiện dự toán thu, chi ngân sách nhà nước được giao theo đúng quy định của Luật Ngân sách nhà nước.</w:t>
      </w:r>
    </w:p>
    <w:tbl>
      <w:tblPr>
        <w:tblStyle w:val="TableGrid"/>
        <w:tblW w:type="auto" w:w="0"/>
        <w:tblLook w:firstColumn="1" w:firstRow="1" w:lastColumn="0" w:lastRow="0" w:noHBand="0" w:noVBand="1" w:val="04A0"/>
      </w:tblPr>
      <w:tblGrid>
        <w:gridCol w:w="4320"/>
        <w:gridCol w:w="4320"/>
      </w:tblGrid>
      <w:tr>
        <w:tc>
          <w:tcPr>
            <w:tcW w:type="dxa" w:w="4320"/>
          </w:tcPr>
          <w:p>
            <w:r>
              <w:rPr>
                <w:b/>
                <w:i/>
              </w:rPr>
              <w:t>Nơi nhận:</w:t>
            </w:r>
            <w:r>
              <w:br/>
            </w:r>
            <w:r>
              <w:rPr>
                <w:b w:val="0"/>
                <w:i w:val="0"/>
              </w:rPr>
              <w:t>- Như Điều 1;</w:t>
            </w:r>
            <w:r>
              <w:br/>
            </w:r>
            <w:r>
              <w:rPr>
                <w:b w:val="0"/>
                <w:i w:val="0"/>
              </w:rPr>
              <w:br/>
              <w:t xml:space="preserve">        - KBNN, Vụ I, Vụ HCSN; Vụ TCNH, Cục TCDN;</w:t>
            </w:r>
            <w:r>
              <w:br/>
            </w:r>
            <w:r>
              <w:rPr>
                <w:b w:val="0"/>
                <w:i w:val="0"/>
              </w:rPr>
              <w:br/>
              <w:t xml:space="preserve">        - Lưu: VT, Vụ NSNN.</w:t>
            </w:r>
          </w:p>
        </w:tc>
        <w:tc>
          <w:tcPr>
            <w:tcW w:type="dxa" w:w="4320"/>
          </w:tcPr>
          <w:p>
            <w:r>
              <w:rPr>
                <w:b/>
                <w:i w:val="0"/>
              </w:rPr>
              <w:t>BỘ TRƯỞNG</w:t>
            </w:r>
            <w:r>
              <w:br/>
            </w:r>
            <w:r>
              <w:br/>
            </w:r>
            <w:r>
              <w:rPr>
                <w:b/>
                <w:i w:val="0"/>
              </w:rPr>
              <w:br/>
              <w:t xml:space="preserve">         (đã ký)</w:t>
            </w:r>
            <w:r>
              <w:br/>
            </w:r>
            <w:r>
              <w:br/>
            </w:r>
            <w:r>
              <w:br/>
            </w:r>
            <w:r>
              <w:rPr>
                <w:b/>
                <w:i w:val="0"/>
              </w:rPr>
              <w:br/>
              <w:t xml:space="preserve">         Vũ Văn Ninh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