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3793/2015/QĐ-UBND Về ban hành Quy chế phối hợp giữa các ngành, địa phương </w:t>
        <w:br/>
        <w:t xml:space="preserve">trong công tác quản lý nhà nước về quản lý điện hạ áp </w:t>
        <w:br/>
        <w:t>nông thôn trên địa bàn tỉnh Thanh Hóa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t xml:space="preserve">       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________________________</w:t>
        <w:br/>
        <w:t xml:space="preserve">      </w:t>
      </w:r>
      <w:r>
        <w:rPr>
          <w:b/>
          <w:i w:val="0"/>
        </w:rPr>
        <w:br/>
      </w:r>
      <w:r>
        <w:rPr>
          <w:b w:val="0"/>
          <w:i w:val="0"/>
        </w:rPr>
        <w:br/>
      </w:r>
      <w:r>
        <w:rPr>
          <w:b w:val="0"/>
          <w:i w:val="0"/>
        </w:rPr>
        <w:br/>
      </w:r>
      <w:r>
        <w:rPr>
          <w:b w:val="0"/>
          <w:i w:val="0"/>
        </w:rPr>
        <w:br/>
      </w:r>
      <w:r>
        <w:rPr>
          <w:b w:val="0"/>
          <w:i w:val="0"/>
        </w:rPr>
        <w:br/>
        <w:t xml:space="preserve">      Số: 3793/2015/QĐ-UBND</w:t>
        <w:br/>
        <w:t xml:space="preserve">     </w:t>
      </w:r>
      <w:r>
        <w:rPr>
          <w:b w:val="0"/>
          <w:i w:val="0"/>
        </w:rPr>
        <w:br/>
      </w:r>
      <w:r>
        <w:rPr>
          <w:b w:val="0"/>
          <w:i/>
        </w:rPr>
        <w:br/>
        <w:t xml:space="preserve">      Thanh Hóa, ngày 30 tháng 9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t xml:space="preserve">       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________________________</w:t>
        <w:br/>
        <w:t xml:space="preserve">      </w:t>
      </w:r>
      <w:r>
        <w:rPr>
          <w:b/>
          <w:i w:val="0"/>
        </w:rPr>
        <w:br/>
      </w:r>
      <w:r>
        <w:rPr>
          <w:b w:val="0"/>
          <w:i w:val="0"/>
        </w:rPr>
        <w:br/>
      </w:r>
      <w:r>
        <w:rPr>
          <w:b w:val="0"/>
          <w:i w:val="0"/>
        </w:rPr>
        <w:br/>
      </w:r>
      <w:r>
        <w:rPr>
          <w:b w:val="0"/>
          <w:i w:val="0"/>
        </w:rPr>
        <w:br/>
      </w:r>
      <w:r>
        <w:rPr>
          <w:b w:val="0"/>
          <w:i w:val="0"/>
        </w:rPr>
        <w:br/>
        <w:t xml:space="preserve">      Số: 3793/2015/QĐ-UBND</w:t>
        <w:br/>
        <w:t xml:space="preserve">     </w:t>
      </w:r>
      <w:r>
        <w:rPr>
          <w:b w:val="0"/>
          <w:i w:val="0"/>
        </w:rPr>
        <w:br/>
      </w:r>
      <w:r>
        <w:rPr>
          <w:b w:val="0"/>
          <w:i/>
        </w:rPr>
        <w:br/>
        <w:t xml:space="preserve">      Thanh Hóa, ngày 30 tháng 9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t xml:space="preserve">       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________________________</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t xml:space="preserve">       __________</w:t>
        <w:br/>
        <w:t xml:space="preserve">      </w:t>
      </w:r>
      <w:r>
        <w:rPr>
          <w:b w:val="0"/>
          <w:i w:val="0"/>
        </w:rPr>
        <w:br/>
      </w:r>
    </w:p>
    <w:p>
      <w:r>
        <w:rPr>
          <w:b w:val="0"/>
          <w:i w:val="0"/>
        </w:rPr>
        <w:br/>
        <w:t xml:space="preserve">       ỦY BAN NHÂN DÂN </w:t>
        <w:br/>
        <w:t xml:space="preserve">       </w:t>
      </w:r>
      <w:r>
        <w:br/>
      </w:r>
      <w:r>
        <w:rPr>
          <w:b w:val="0"/>
          <w:i w:val="0"/>
        </w:rPr>
        <w:br/>
        <w:t xml:space="preserve">        TỈNH THANH HÓA</w:t>
        <w:br/>
        <w:t xml:space="preserve">      </w:t>
      </w:r>
    </w:p>
    <w:p>
      <w:r>
        <w:rPr>
          <w:b w:val="0"/>
          <w:i w:val="0"/>
        </w:rPr>
        <w:br/>
        <w:t xml:space="preserve">       __________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________________________</w:t>
        <w:br/>
        <w:t xml:space="preserve">      </w:t>
      </w:r>
    </w:p>
    <w:p>
      <w:r>
        <w:rPr>
          <w:b w:val="0"/>
          <w:i w:val="0"/>
        </w:rPr>
        <w:br/>
      </w:r>
      <w:r>
        <w:rPr>
          <w:b w:val="0"/>
          <w:i w:val="0"/>
        </w:rPr>
        <w:br/>
        <w:t xml:space="preserve">      Số: 3793/2015/QĐ-UBND</w:t>
        <w:br/>
        <w:t xml:space="preserve">     </w:t>
      </w:r>
      <w:r>
        <w:rPr>
          <w:b w:val="0"/>
          <w:i w:val="0"/>
        </w:rPr>
        <w:br/>
      </w:r>
      <w:r>
        <w:rPr>
          <w:b w:val="0"/>
          <w:i/>
        </w:rPr>
        <w:br/>
        <w:t xml:space="preserve">      Thanh Hóa, ngày 30 tháng 9 năm 2015</w:t>
        <w:br/>
        <w:t xml:space="preserve">     </w:t>
      </w:r>
      <w:r>
        <w:rPr>
          <w:b w:val="0"/>
          <w:i w:val="0"/>
        </w:rPr>
        <w:br/>
      </w:r>
    </w:p>
    <w:p>
      <w:pPr>
        <w:jc w:val="center"/>
      </w:pPr>
      <w:r>
        <w:rPr>
          <w:b w:val="0"/>
          <w:i w:val="0"/>
        </w:rPr>
        <w:br/>
        <w:t xml:space="preserve">      Số: 3793/2015/QĐ-UBND</w:t>
        <w:br/>
        <w:t xml:space="preserve">     </w:t>
      </w:r>
    </w:p>
    <w:p>
      <w:pPr>
        <w:jc w:val="center"/>
      </w:pPr>
      <w:r>
        <w:rPr>
          <w:b w:val="0"/>
          <w:i w:val="0"/>
        </w:rPr>
        <w:br/>
        <w:t xml:space="preserve">      Thanh Hóa, ngày 30 tháng 9 năm 2015</w:t>
        <w:br/>
        <w:t xml:space="preserve">     </w:t>
      </w:r>
    </w:p>
    <w:p>
      <w:r>
        <w:rPr>
          <w:b/>
          <w:i w:val="0"/>
        </w:rPr>
        <w:t>QUY</w:t>
      </w:r>
      <w:r>
        <w:rPr>
          <w:b/>
          <w:i w:val="0"/>
        </w:rPr>
        <w:t>Ế</w:t>
      </w:r>
      <w:r>
        <w:rPr>
          <w:b/>
          <w:i w:val="0"/>
        </w:rPr>
        <w:t>T ĐỊNH</w:t>
      </w:r>
    </w:p>
    <w:p>
      <w:r>
        <w:rPr>
          <w:b/>
          <w:i w:val="0"/>
        </w:rPr>
        <w:t>V</w:t>
      </w:r>
      <w:r>
        <w:rPr>
          <w:b/>
          <w:i w:val="0"/>
        </w:rPr>
        <w:t xml:space="preserve">ề ban hành Quy chế phối hợp giữa các ngành, địa phương </w:t>
      </w:r>
    </w:p>
    <w:p>
      <w:r>
        <w:rPr>
          <w:b/>
          <w:i w:val="0"/>
        </w:rPr>
        <w:t xml:space="preserve">trong công tác quản lý nhà nước về quản lý điện hạ áp </w:t>
      </w:r>
    </w:p>
    <w:p>
      <w:r>
        <w:rPr>
          <w:b/>
          <w:i w:val="0"/>
        </w:rPr>
        <w:t>nông thôn trên địa bàn tỉnh Thanh Hóa</w:t>
      </w:r>
    </w:p>
    <w:p>
      <w:r>
        <w:rPr>
          <w:b w:val="0"/>
          <w:i w:val="0"/>
        </w:rPr>
        <w:t>_____________</w:t>
      </w:r>
    </w:p>
    <w:p>
      <w:r>
        <w:rPr>
          <w:b/>
          <w:i w:val="0"/>
        </w:rPr>
        <w:t>ỦY BAN NHÂN DÂN TỈNH THANH HÓA</w:t>
      </w:r>
    </w:p>
    <w:p>
      <w:pPr>
        <w:jc w:val="both"/>
      </w:pPr>
      <w:r>
        <w:rPr>
          <w:b w:val="0"/>
          <w:i w:val="0"/>
        </w:rPr>
        <w:t>Căn cứ Luật Tổ chức HĐND và UBND ngày 26 tháng 11 năm 2003;</w:t>
      </w:r>
    </w:p>
    <w:p>
      <w:pPr>
        <w:jc w:val="both"/>
      </w:pPr>
      <w:r>
        <w:rPr>
          <w:b w:val="0"/>
          <w:i w:val="0"/>
        </w:rPr>
        <w:t>Căn cứ Luật Điện lực ngày 03 tháng 12 năm 2004 và Luật sửa đổi bổ sung một số điều của Luật Điện lực ngày 20 tháng 11 năm 2012;</w:t>
      </w:r>
    </w:p>
    <w:p>
      <w:pPr>
        <w:jc w:val="both"/>
      </w:pPr>
      <w:r>
        <w:rPr>
          <w:b w:val="0"/>
          <w:i w:val="0"/>
        </w:rPr>
        <w:t>Căn cứ Nghị định số 137/2013/NĐ-CP ngày 21 tháng 10 năm 2013 Quy định chi tiết và hướng dẫn thi hành một số điều của Luật Điện lực và Luật sửa đổi bổ sung một số điều của Luật Điện lực;</w:t>
      </w:r>
    </w:p>
    <w:p>
      <w:pPr>
        <w:jc w:val="both"/>
      </w:pPr>
      <w:r>
        <w:rPr>
          <w:b w:val="0"/>
          <w:i w:val="0"/>
        </w:rPr>
        <w:t>Căn cứ Nghị định số 134/2013/NĐ-CP ngày 17 tháng 10 năm 2013 của Chính phủ Quy định về xử phạt vi phạm hành chính trong lĩnh vực điện, an toàn đập thủy điện, sử dụng năng lượng tiết kiệm hiệu quả;</w:t>
      </w:r>
    </w:p>
    <w:p>
      <w:pPr>
        <w:jc w:val="both"/>
      </w:pPr>
      <w:r>
        <w:rPr>
          <w:b w:val="0"/>
          <w:i w:val="0"/>
        </w:rPr>
        <w:t>Xét đề nghị của Giám đốc Sở Công Thương tại Tờ trình số 1050/TTr-SCT ngày 22 tháng 6 năm 2015,</w:t>
      </w:r>
    </w:p>
    <w:p>
      <w:r>
        <w:rPr>
          <w:b/>
          <w:i w:val="0"/>
        </w:rPr>
        <w:t>QUYẾT ĐỊNH:</w:t>
      </w:r>
    </w:p>
    <w:p>
      <w:r>
        <w:rPr>
          <w:b/>
          <w:i w:val="0"/>
        </w:rPr>
        <w:t xml:space="preserve">Điều 1. </w:t>
      </w:r>
      <w:r>
        <w:rPr>
          <w:b w:val="0"/>
          <w:i w:val="0"/>
        </w:rPr>
        <w:t>Ban hành kèm theo Quyết định này Quy chế phối hợp giữa các ngành, địa phương trong công tác quản lý nhà nước về quản lý điện hạ áp nông thôn trên địa bàn tỉnh Thanh Hóa.</w:t>
      </w:r>
    </w:p>
    <w:p>
      <w:r>
        <w:rPr>
          <w:b/>
          <w:i w:val="0"/>
        </w:rPr>
        <w:t xml:space="preserve">Điều 2. </w:t>
      </w:r>
      <w:r>
        <w:rPr>
          <w:b w:val="0"/>
          <w:i w:val="0"/>
        </w:rPr>
        <w:t>Quyết định có hiệu lực thi hành sau 10 ngày kể từ ngày ban hành.</w:t>
      </w:r>
    </w:p>
    <w:p>
      <w:r>
        <w:rPr>
          <w:b w:val="0"/>
          <w:i w:val="0"/>
        </w:rPr>
        <w:t>Chánh Văn phòng UBND tỉnh, Giám đốc các Sở: Công Thương, Tài chính, Kế hoạch và Đầu tư, Nông nghiệp và Phát triển nông thôn, Tư pháp, Giám đốc Công an tỉnh, Chủ tịch Liên minh Hợp tác xã, Chủ tịch UBND các huyện, thị xã, thành phố; Thủ trưởng các đơn vị bán lẻ điện nông thôn: Công ty Điện lực Thanh Hóa, Công ty cổ phần Xây lắp điện lực Thanh Hóa, Công ty cổ phần Quản lý kinh doanh điện Thanh Hóa, Công ty TNHH, Hợp tác xã dịch vụ điện và các Tổ chức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w:t>
            </w:r>
            <w:r>
              <w:rPr>
                <w:b/>
                <w:i w:val="0"/>
              </w:rPr>
              <w:t>ỦY</w:t>
            </w:r>
            <w:r>
              <w:rPr>
                <w:b/>
                <w:i w:val="0"/>
              </w:rPr>
              <w:t xml:space="preserve"> BAN NHÂN</w:t>
            </w:r>
            <w:r>
              <w:rPr>
                <w:b/>
                <w:i w:val="0"/>
              </w:rPr>
              <w:t xml:space="preserve"> DÂN</w:t>
            </w:r>
            <w:r>
              <w:br/>
            </w:r>
            <w:r>
              <w:rPr>
                <w:b/>
                <w:i w:val="0"/>
              </w:rPr>
              <w:br/>
              <w:t xml:space="preserve">         KT. CHỦ TỊCH</w:t>
            </w:r>
            <w:r>
              <w:br/>
            </w:r>
            <w:r>
              <w:rPr>
                <w:b/>
                <w:i w:val="0"/>
              </w:rPr>
              <w:br/>
              <w:t xml:space="preserve">         PHÓ </w:t>
            </w:r>
            <w:r>
              <w:rPr>
                <w:b/>
                <w:i w:val="0"/>
              </w:rPr>
              <w:t>CHỦ TỊC</w:t>
            </w:r>
            <w:r>
              <w:rPr>
                <w:b/>
                <w:i w:val="0"/>
              </w:rPr>
              <w:t>H</w:t>
            </w:r>
            <w:r>
              <w:rPr>
                <w:b w:val="0"/>
                <w:i w:val="0"/>
              </w:rPr>
              <w:br/>
            </w:r>
            <w:r>
              <w:rPr>
                <w:b/>
                <w:i/>
              </w:rPr>
              <w:t>(Đã ký)</w:t>
            </w:r>
            <w:r>
              <w:rPr>
                <w:b w:val="0"/>
                <w:i w:val="0"/>
              </w:rPr>
              <w:br/>
            </w:r>
            <w:r>
              <w:rPr>
                <w:b/>
                <w:i w:val="0"/>
              </w:rPr>
              <w:t>Nguyễn Ngọc Hồi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