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37/2005/QĐ-TTg Về việc phê duyệt bổ sung phương án tổng thể sắp xếp đổi mới công ty nhà nước trực thuộc Bộ Công nghiệp</w:t>
      </w:r>
    </w:p>
    <w:p>
      <w:r>
        <w:rPr>
          <w:b w:val="0"/>
          <w:i w:val="0"/>
        </w:rPr>
        <w:br/>
      </w:r>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37/2005/QĐ-TTg</w:t>
      </w:r>
      <w:r>
        <w:rPr>
          <w:b w:val="0"/>
          <w:i w:val="0"/>
        </w:rPr>
        <w:br/>
      </w:r>
      <w:r>
        <w:rPr>
          <w:b w:val="0"/>
          <w:i w:val="0"/>
        </w:rPr>
        <w:br/>
      </w:r>
      <w:r>
        <w:rPr>
          <w:b w:val="0"/>
          <w:i/>
        </w:rPr>
        <w:br/>
      </w:r>
      <w:r>
        <w:rPr>
          <w:b w:val="0"/>
          <w:i/>
        </w:rPr>
        <w:t>Hà Nội, ngày 28 tháng 2 năm 2005</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37/2005/QĐ-TTg</w:t>
      </w:r>
      <w:r>
        <w:rPr>
          <w:b w:val="0"/>
          <w:i w:val="0"/>
        </w:rPr>
        <w:br/>
      </w:r>
      <w:r>
        <w:rPr>
          <w:b w:val="0"/>
          <w:i w:val="0"/>
        </w:rPr>
        <w:br/>
      </w:r>
      <w:r>
        <w:rPr>
          <w:b w:val="0"/>
          <w:i/>
        </w:rPr>
        <w:br/>
      </w:r>
      <w:r>
        <w:rPr>
          <w:b w:val="0"/>
          <w:i/>
        </w:rPr>
        <w:t>Hà Nội, ngày 28 tháng 2 năm 2005</w:t>
      </w:r>
      <w:r>
        <w:rPr>
          <w:b w:val="0"/>
          <w:i/>
        </w:rPr>
        <w:br/>
      </w:r>
      <w:r>
        <w:rPr>
          <w:b w:val="0"/>
          <w:i w:val="0"/>
        </w:rPr>
        <w:br/>
      </w:r>
      <w:r>
        <w:rPr>
          <w:b w:val="0"/>
          <w:i w:val="0"/>
        </w:rPr>
        <w:br/>
      </w:r>
    </w:p>
    <w:p>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THỦ TƯỚNG CHÍNH PHỦ</w:t>
      </w:r>
      <w:r>
        <w:rPr>
          <w:b w:val="0"/>
          <w:i w:val="0"/>
        </w:rPr>
        <w:br/>
      </w:r>
      <w:r>
        <w:rPr>
          <w:b w:val="0"/>
          <w:i w:val="0"/>
        </w:rPr>
        <w:br/>
      </w:r>
      <w:r>
        <w:rPr>
          <w:b w:val="0"/>
          <w:i w:val="0"/>
        </w:rPr>
        <w:br/>
      </w:r>
    </w:p>
    <w:p>
      <w:r>
        <w:rPr>
          <w:b w:val="0"/>
          <w:i w:val="0"/>
        </w:rPr>
        <w:br/>
      </w:r>
      <w:r>
        <w:rPr>
          <w:b w:val="0"/>
          <w:i w:val="0"/>
        </w:rPr>
        <w:t>THỦ TƯỚNG CHÍNH PHỦ</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37/2005/QĐ-TTg</w:t>
      </w:r>
      <w:r>
        <w:rPr>
          <w:b w:val="0"/>
          <w:i w:val="0"/>
        </w:rPr>
        <w:br/>
      </w:r>
      <w:r>
        <w:rPr>
          <w:b w:val="0"/>
          <w:i w:val="0"/>
        </w:rPr>
        <w:br/>
      </w:r>
      <w:r>
        <w:rPr>
          <w:b w:val="0"/>
          <w:i/>
        </w:rPr>
        <w:br/>
      </w:r>
      <w:r>
        <w:rPr>
          <w:b w:val="0"/>
          <w:i/>
        </w:rPr>
        <w:t>Hà Nội, ngày 28 tháng 2 năm 2005</w:t>
      </w:r>
      <w:r>
        <w:rPr>
          <w:b w:val="0"/>
          <w:i/>
        </w:rPr>
        <w:br/>
      </w:r>
      <w:r>
        <w:rPr>
          <w:b w:val="0"/>
          <w:i w:val="0"/>
        </w:rPr>
        <w:br/>
      </w:r>
    </w:p>
    <w:p>
      <w:pPr>
        <w:jc w:val="center"/>
      </w:pPr>
      <w:r>
        <w:rPr>
          <w:b w:val="0"/>
          <w:i w:val="0"/>
        </w:rPr>
        <w:br/>
      </w:r>
      <w:r>
        <w:rPr>
          <w:b w:val="0"/>
          <w:i w:val="0"/>
        </w:rPr>
        <w:t>Số: 37/2005/QĐ-TTg</w:t>
      </w:r>
      <w:r>
        <w:rPr>
          <w:b w:val="0"/>
          <w:i w:val="0"/>
        </w:rPr>
        <w:br/>
      </w:r>
    </w:p>
    <w:p>
      <w:pPr>
        <w:jc w:val="center"/>
      </w:pPr>
      <w:r>
        <w:rPr>
          <w:b w:val="0"/>
          <w:i w:val="0"/>
        </w:rPr>
        <w:br/>
      </w:r>
      <w:r>
        <w:rPr>
          <w:b w:val="0"/>
          <w:i w:val="0"/>
        </w:rPr>
        <w:t>Hà Nội, ngày 28 tháng 2 năm 2005</w:t>
      </w:r>
      <w:r>
        <w:rPr>
          <w:b w:val="0"/>
          <w:i w:val="0"/>
        </w:rPr>
        <w:br/>
      </w:r>
    </w:p>
    <w:p>
      <w:r>
        <w:rPr>
          <w:b/>
          <w:i w:val="0"/>
        </w:rPr>
        <w:t xml:space="preserve">QUYẾT ĐỊNH </w:t>
      </w:r>
    </w:p>
    <w:p>
      <w:r>
        <w:rPr>
          <w:b/>
          <w:i w:val="0"/>
        </w:rPr>
        <w:t>Về việc phê duyệt bổ sung phương án tổng thể sắp xếp đổi</w:t>
      </w:r>
    </w:p>
    <w:p>
      <w:r>
        <w:rPr>
          <w:b/>
          <w:i w:val="0"/>
        </w:rPr>
        <w:t>mới công ty nhà nước trực thuộc Bộ Công nghiệp</w:t>
      </w:r>
    </w:p>
    <w:p>
      <w:r>
        <w:rPr>
          <w:b/>
          <w:i w:val="0"/>
        </w:rPr>
        <w:t>THỦ TƯỚNG CHÍNH PHỦ</w:t>
      </w:r>
    </w:p>
    <w:p>
      <w:r>
        <w:rPr>
          <w:b w:val="0"/>
          <w:i/>
        </w:rPr>
        <w:t>Căn cứ Luật Tổ chức Chính phủ ngày 25 tháng 12 năm 2001;</w:t>
      </w:r>
    </w:p>
    <w:p>
      <w:r>
        <w:rPr>
          <w:b w:val="0"/>
          <w:i/>
        </w:rPr>
        <w:t>Căn cứ Quyết định số 155/2004/QĐ-TTg ngày 24 tháng 8 năm 2004 của Thủ tướng Chính phủ về ban hành tiêu chí, danh mục phân loại công ty nhà nước và công ty thành viên hạch toán độc lập thuộc tổng công ty nhà nước;</w:t>
      </w:r>
    </w:p>
    <w:p>
      <w:r>
        <w:rPr>
          <w:b w:val="0"/>
          <w:i/>
        </w:rPr>
        <w:t>Xét đề nghị của Bộ trưởng Bộ Công nghiệp,</w:t>
      </w:r>
    </w:p>
    <w:p>
      <w:r>
        <w:rPr>
          <w:b/>
          <w:i w:val="0"/>
        </w:rPr>
        <w:t>QUYẾT ĐỊNH:</w:t>
      </w:r>
    </w:p>
    <w:p>
      <w:r>
        <w:rPr>
          <w:b/>
          <w:i w:val="0"/>
        </w:rPr>
        <w:t xml:space="preserve">Điều 1. </w:t>
      </w:r>
      <w:r>
        <w:rPr>
          <w:b w:val="0"/>
          <w:i w:val="0"/>
        </w:rPr>
        <w:t>Phê duyệt bổ sung phương án tổng thể sắp xếp, đổi mới công ty nhà nước trực thuộc Bộ Công nghiệp trong năm 2005 như phụ lục kèm theo.</w:t>
      </w:r>
    </w:p>
    <w:p>
      <w:r>
        <w:rPr>
          <w:b/>
          <w:i w:val="0"/>
        </w:rPr>
        <w:t xml:space="preserve">Điều 2. </w:t>
      </w:r>
      <w:r>
        <w:rPr>
          <w:b w:val="0"/>
          <w:i w:val="0"/>
        </w:rPr>
        <w:t>Bộ trưởng Bộ Công nghiệp có trách nhiệm:</w:t>
      </w:r>
    </w:p>
    <w:p>
      <w:r>
        <w:rPr>
          <w:b w:val="0"/>
          <w:i w:val="0"/>
        </w:rPr>
        <w:t>- Chỉ đạo thực hiện việc sắp xếp, đổi mới công ty nhà nước trực thuộc theo đúng nội dung đã được phê duyệt.</w:t>
      </w:r>
    </w:p>
    <w:p>
      <w:r>
        <w:rPr>
          <w:b w:val="0"/>
          <w:i w:val="0"/>
        </w:rPr>
        <w:t>- Căn cứ tiêu chí, danh mục phân loại công ty nhà nước và công ty thành viên hạch toán độc lập thuộc tổng công ty nhà nước để quyết định tỷ lệ cổ phần mà Nhà nước nắm giữ khi thực hiện cổ phần hóa hoặc bán tiếp phần vốn Nhà nước đang nắm giữ tại các công ty cổ phần. Việc bán tiếp phần vốn Nhà nước đang nắm giữ tại các công ty cổ phần phải thực hiện theo đúng các quy định hiện hành.</w:t>
      </w:r>
    </w:p>
    <w:p>
      <w:r>
        <w:rPr>
          <w:b w:val="0"/>
          <w:i w:val="0"/>
        </w:rPr>
        <w:t>- Chủ trì, phối hợp với Ban Chỉ đạo Đổi mới và Phát triển doanh nghiệp, Bộ Kế hoạch và Đầu tư và các cơ quan liên quan tổ chức sơ kết, đánh giá kết quả thí điểm mô hình công ty mẹ - công ty con của các doanh nghiệp trực thuộc Bộ thực hiện thí điểm mô hình này trong thời gian vừa qua, báo cáo Thủ tướng Chính phủ trong Quý I năm 2005.</w:t>
      </w:r>
    </w:p>
    <w:p>
      <w:r>
        <w:rPr>
          <w:b/>
          <w:i w:val="0"/>
        </w:rPr>
        <w:t xml:space="preserve">Điều 3. </w:t>
      </w:r>
      <w:r>
        <w:rPr>
          <w:b w:val="0"/>
          <w:i w:val="0"/>
        </w:rPr>
        <w:t>Các Bộ: Tài chính, Kế hoạch và Đầu tư, Nội vụ, Lao động - Thương binh và Xã hội và các cơ quan có liên quan có trách nhiệm phối hợp với Bộ Công nghiệp trong việc thực hiện các nhiệm vụ nêu tại Điều 2 Quyết định này.</w:t>
      </w:r>
    </w:p>
    <w:p>
      <w:r>
        <w:rPr>
          <w:b w:val="0"/>
          <w:i w:val="0"/>
        </w:rPr>
        <w:t>Ban Chỉ đạo Đổi mới và Phát triển doanh nghiệp chịu trách nhiệm đôn đốc, hướng dẫn và theo dõi thực hiện.</w:t>
      </w:r>
    </w:p>
    <w:p>
      <w:r>
        <w:rPr>
          <w:b/>
          <w:i w:val="0"/>
        </w:rPr>
        <w:t xml:space="preserve">Điều 4. </w:t>
      </w:r>
      <w:r>
        <w:rPr>
          <w:b w:val="0"/>
          <w:i w:val="0"/>
        </w:rPr>
        <w:t>Quyết định này có hiệu lực sau 15 ngày, kể từ ngày đăng Công báo.</w:t>
      </w:r>
    </w:p>
    <w:p>
      <w:r>
        <w:rPr>
          <w:b w:val="0"/>
          <w:i w:val="0"/>
        </w:rPr>
        <w:t>Bộ trưởng Bộ Công nghiệp và Thủ trưởng các cơ quan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 </w:t>
            </w:r>
          </w:p>
        </w:tc>
        <w:tc>
          <w:tcPr>
            <w:tcW w:type="dxa" w:w="4320"/>
          </w:tcPr>
          <w:p>
            <w:r>
              <w:rPr>
                <w:b w:val="0"/>
                <w:i w:val="0"/>
              </w:rPr>
              <w:br/>
            </w:r>
            <w:r>
              <w:rPr>
                <w:b/>
                <w:i w:val="0"/>
              </w:rPr>
              <w:t>THỦ TƯỚNG</w:t>
            </w:r>
            <w:r>
              <w:br/>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