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37/2019/QĐ-UBND Về việc bãi bỏ văn bản</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37/2019/QĐ-UBND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37/2019/QĐ-UBND</w:t>
      </w:r>
      <w:r>
        <w:rPr>
          <w:b w:val="0"/>
          <w:i w:val="0"/>
        </w:rPr>
        <w:br/>
      </w:r>
      <w:r>
        <w:rPr>
          <w:b w:val="0"/>
          <w:i w:val="0"/>
        </w:rPr>
        <w:br/>
      </w:r>
      <w:r>
        <w:rPr>
          <w:b w:val="0"/>
          <w:i/>
        </w:rPr>
        <w:br/>
      </w:r>
      <w:r>
        <w:rPr>
          <w:b w:val="0"/>
          <w:i/>
        </w:rPr>
        <w:t>Thành phố Hồ Chí Minh, ngày 19 tháng 12 năm 2019</w:t>
      </w:r>
      <w:r>
        <w:rPr>
          <w:b w:val="0"/>
          <w:i/>
        </w:rPr>
        <w:br/>
      </w:r>
      <w:r>
        <w:rPr>
          <w:b w:val="0"/>
          <w:i w:val="0"/>
        </w:rPr>
        <w:br/>
      </w:r>
    </w:p>
    <w:p>
      <w:pPr>
        <w:jc w:val="center"/>
      </w:pPr>
      <w:r>
        <w:rPr>
          <w:b w:val="0"/>
          <w:i w:val="0"/>
        </w:rPr>
        <w:br/>
      </w:r>
      <w:r>
        <w:rPr>
          <w:b w:val="0"/>
          <w:i w:val="0"/>
        </w:rPr>
        <w:t>Số: 37/2019/QĐ-UBND</w:t>
      </w:r>
      <w:r>
        <w:rPr>
          <w:b w:val="0"/>
          <w:i w:val="0"/>
        </w:rPr>
        <w:br/>
      </w:r>
    </w:p>
    <w:p>
      <w:pPr>
        <w:jc w:val="center"/>
      </w:pPr>
      <w:r>
        <w:rPr>
          <w:b w:val="0"/>
          <w:i w:val="0"/>
        </w:rPr>
        <w:br/>
      </w:r>
      <w:r>
        <w:rPr>
          <w:b w:val="0"/>
          <w:i w:val="0"/>
        </w:rPr>
        <w:t>Thành phố Hồ Chí Minh, ngày 19 tháng 12 năm 2019</w:t>
      </w:r>
      <w:r>
        <w:rPr>
          <w:b w:val="0"/>
          <w:i w:val="0"/>
        </w:rPr>
        <w:br/>
      </w:r>
    </w:p>
    <w:p>
      <w:r>
        <w:rPr>
          <w:b/>
          <w:i w:val="0"/>
        </w:rPr>
        <w:t>QUYẾT ĐỊNH</w:t>
      </w:r>
    </w:p>
    <w:p>
      <w:r>
        <w:rPr>
          <w:b/>
          <w:i w:val="0"/>
        </w:rPr>
        <w:t>Về việc bãi bỏ văn bản</w:t>
      </w:r>
    </w:p>
    <w:p>
      <w:r>
        <w:rPr>
          <w:b w:val="0"/>
          <w:i w:val="0"/>
        </w:rPr>
        <w:t xml:space="preserve"> </w:t>
      </w:r>
      <w:r>
        <w:rPr>
          <w:b/>
          <w:i w:val="0"/>
        </w:rPr>
        <w:t>ỦY BAN NHÂN DÂN THÀNH PHỐ HỒ CHÍ MINH</w:t>
      </w:r>
      <w:r>
        <w:br/>
      </w:r>
      <w:r>
        <w:rPr>
          <w:b w:val="0"/>
          <w:i w:val="0"/>
        </w:rPr>
        <w:t xml:space="preserve"> </w:t>
      </w:r>
    </w:p>
    <w:p>
      <w:pPr>
        <w:jc w:val="both"/>
      </w:pPr>
      <w:r>
        <w:rPr>
          <w:b w:val="0"/>
          <w:i/>
        </w:rPr>
        <w:t>Căn cứ Luật Tổ chức ch</w:t>
      </w:r>
      <w:r>
        <w:rPr>
          <w:b w:val="0"/>
          <w:i/>
        </w:rPr>
        <w:t>í</w:t>
      </w:r>
      <w:r>
        <w:rPr>
          <w:b w:val="0"/>
          <w:i/>
        </w:rPr>
        <w:t>nh quyền địa phương ngày 19 th</w:t>
      </w:r>
      <w:r>
        <w:rPr>
          <w:b w:val="0"/>
          <w:i/>
        </w:rPr>
        <w:t>á</w:t>
      </w:r>
      <w:r>
        <w:rPr>
          <w:b w:val="0"/>
          <w:i/>
        </w:rPr>
        <w:t>ng 6 năm 2015;</w:t>
      </w:r>
    </w:p>
    <w:p>
      <w:pPr>
        <w:jc w:val="both"/>
      </w:pPr>
      <w:r>
        <w:rPr>
          <w:b w:val="0"/>
          <w:i/>
        </w:rPr>
        <w:t>Căn cứ Luật Ban hành văn bản quy phạm pháp luật ngày 22 tháng 6 năm 2015;</w:t>
      </w:r>
    </w:p>
    <w:p>
      <w:pPr>
        <w:jc w:val="both"/>
      </w:pPr>
      <w:r>
        <w:rPr>
          <w:b w:val="0"/>
          <w:i/>
        </w:rPr>
        <w:t>Căn cứ Nghị định s</w:t>
      </w:r>
      <w:r>
        <w:rPr>
          <w:b w:val="0"/>
          <w:i/>
        </w:rPr>
        <w:t>ố</w:t>
      </w:r>
      <w:r>
        <w:rPr>
          <w:b w:val="0"/>
          <w:i/>
        </w:rPr>
        <w:t xml:space="preserve"> 34/2016/NĐ-CP ngày 14 th</w:t>
      </w:r>
      <w:r>
        <w:rPr>
          <w:b w:val="0"/>
          <w:i/>
        </w:rPr>
        <w:t>á</w:t>
      </w:r>
      <w:r>
        <w:rPr>
          <w:b w:val="0"/>
          <w:i/>
        </w:rPr>
        <w:t>ng 5 năm 2016 của Ch</w:t>
      </w:r>
      <w:r>
        <w:rPr>
          <w:b w:val="0"/>
          <w:i/>
        </w:rPr>
        <w:t>í</w:t>
      </w:r>
      <w:r>
        <w:rPr>
          <w:b w:val="0"/>
          <w:i/>
        </w:rPr>
        <w:t>nh phủ quy định ch</w:t>
      </w:r>
      <w:r>
        <w:rPr>
          <w:b w:val="0"/>
          <w:i/>
        </w:rPr>
        <w:t xml:space="preserve">i </w:t>
      </w:r>
      <w:r>
        <w:rPr>
          <w:b w:val="0"/>
          <w:i/>
        </w:rPr>
        <w:t>tiết một số điều và biện pháp thi hành Luật Ban hành v</w:t>
      </w:r>
      <w:r>
        <w:rPr>
          <w:b w:val="0"/>
          <w:i/>
        </w:rPr>
        <w:t>ă</w:t>
      </w:r>
      <w:r>
        <w:rPr>
          <w:b w:val="0"/>
          <w:i/>
        </w:rPr>
        <w:t>n bản quy phạm pháp luật;</w:t>
      </w:r>
    </w:p>
    <w:p>
      <w:pPr>
        <w:jc w:val="both"/>
      </w:pPr>
      <w:r>
        <w:rPr>
          <w:b w:val="0"/>
          <w:i/>
        </w:rPr>
        <w:t>Theo đề nghị của Sở Giao thông vận tải tại Tờ trình số 6079/TTr-SGTVT ngày 03 tháng 12 năm 2019; ý kiến th</w:t>
      </w:r>
      <w:r>
        <w:rPr>
          <w:b w:val="0"/>
          <w:i/>
        </w:rPr>
        <w:t>ẩ</w:t>
      </w:r>
      <w:r>
        <w:rPr>
          <w:b w:val="0"/>
          <w:i/>
        </w:rPr>
        <w:t>m định của Sở Tư pháp tại Công văn số 6943/STP-VB ngày 27 tháng 11 năm 2019.</w:t>
      </w:r>
    </w:p>
    <w:p>
      <w:r>
        <w:rPr>
          <w:b/>
          <w:i w:val="0"/>
        </w:rPr>
        <w:t>QUYẾT ĐỊNH:</w:t>
      </w:r>
      <w:r>
        <w:br/>
      </w:r>
      <w:r>
        <w:rPr>
          <w:b w:val="0"/>
          <w:i w:val="0"/>
        </w:rPr>
        <w:t xml:space="preserve"> </w:t>
      </w:r>
    </w:p>
    <w:p>
      <w:pPr>
        <w:jc w:val="both"/>
      </w:pPr>
      <w:r>
        <w:rPr>
          <w:b/>
          <w:i w:val="0"/>
        </w:rPr>
        <w:t xml:space="preserve">Điều 1. </w:t>
      </w:r>
      <w:r>
        <w:rPr>
          <w:b w:val="0"/>
          <w:i w:val="0"/>
        </w:rPr>
        <w:t>Nay bãi bỏ 02 Quyết định do Ủy ban nhân dân thành phố Hồ Chí Minh ban hành có nội dung không còn phù hợp, gồm:</w:t>
      </w:r>
    </w:p>
    <w:p>
      <w:pPr>
        <w:jc w:val="both"/>
      </w:pPr>
      <w:r>
        <w:rPr>
          <w:b w:val="0"/>
          <w:i w:val="0"/>
        </w:rPr>
        <w:t>- Quyết định số 4035/QĐ-UBND ngày 26 tháng 7 năm 2013 của Ủy ban nhân dân thành phố về tổ chức thu phí sử dụng dịch vụ đường bộ (chiều xe đi ra) thuộc dự án BOT cầu đường Bình Triệu 2 (phần 1, giai đoạn 2).</w:t>
      </w:r>
    </w:p>
    <w:p>
      <w:pPr>
        <w:jc w:val="both"/>
      </w:pPr>
      <w:r>
        <w:rPr>
          <w:b w:val="0"/>
          <w:i w:val="0"/>
        </w:rPr>
        <w:t>- Quyết định số 7118/QĐ-UBND ngày 30 tháng 12 năm 2013 về điều chỉnh mức thu phí sử dụng dịch vụ đường bộ tại các trạm thu phí trên xa lộ Hà Nội và tại cầu Bình Triệu theo quy định tại Thông tư số 159/2013/TT-BTC ngày 14 tháng 11 năm 2013 của Bộ Tài chính.</w:t>
      </w:r>
    </w:p>
    <w:p>
      <w:pPr>
        <w:jc w:val="both"/>
      </w:pPr>
      <w:r>
        <w:rPr>
          <w:b/>
          <w:i w:val="0"/>
        </w:rPr>
        <w:t xml:space="preserve">Điều 2. </w:t>
      </w:r>
      <w:r>
        <w:rPr>
          <w:b w:val="0"/>
          <w:i w:val="0"/>
        </w:rPr>
        <w:t>Quyết định này có hiệu lực kể từ ngày 01 tháng 01 năm 2020.</w:t>
      </w:r>
    </w:p>
    <w:p>
      <w:pPr>
        <w:jc w:val="both"/>
      </w:pPr>
      <w:r>
        <w:rPr>
          <w:b/>
          <w:i w:val="0"/>
        </w:rPr>
        <w:t xml:space="preserve">Điều 3. </w:t>
      </w:r>
      <w:r>
        <w:rPr>
          <w:b w:val="0"/>
          <w:i w:val="0"/>
        </w:rPr>
        <w:t>Chánh Văn phòng Ủy ban nhân dân thành phố, Thủ trưởng các sở - ban - ngành thành phố, Chủ tịch Ủy ban nhân dân các quận - huyện, Tổng Giám đốc Công ty Cổ phần Đầu tư Hạ tầng kỹ thuật thành phố, Thủ trưởng các cơ quan, đơn vị có liên quan chịu trách nhiệm thi hành Quyết định này.</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Hoan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Võ Văn Hoan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Võ Văn Hoan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Võ Văn Hoan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