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37/2021/TT-BTC Bãi bỏ Thông tư số 179/2012/TT-BTC ngày 24 tháng 10 năm 2012 của Bộ trưởng Bộ Tài chính quy định về ghi nhận, đánh giá, xử lý các khoản chênh lệch tỷ giá hối đoái trong doanh nghiệp</w:t>
      </w:r>
    </w:p>
    <w:p>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37/2021/TT-BTC</w:t>
      </w:r>
      <w:r>
        <w:rPr>
          <w:b w:val="0"/>
          <w:i w:val="0"/>
        </w:rPr>
        <w:br/>
      </w:r>
      <w:r>
        <w:rPr>
          <w:b w:val="0"/>
          <w:i w:val="0"/>
        </w:rPr>
        <w:br/>
      </w:r>
      <w:r>
        <w:rPr>
          <w:b w:val="0"/>
          <w:i/>
        </w:rPr>
        <w:t>Hà Nội, ngày 27 tháng 5 năm 2021</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37/2021/TT-BTC</w:t>
      </w:r>
      <w:r>
        <w:rPr>
          <w:b w:val="0"/>
          <w:i w:val="0"/>
        </w:rPr>
        <w:br/>
      </w:r>
      <w:r>
        <w:rPr>
          <w:b w:val="0"/>
          <w:i w:val="0"/>
        </w:rPr>
        <w:br/>
      </w:r>
      <w:r>
        <w:rPr>
          <w:b w:val="0"/>
          <w:i/>
        </w:rPr>
        <w:t>Hà Nội, ngày 27 tháng 5 năm 2021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r>
        <w:br/>
      </w:r>
      <w:r>
        <w:rPr>
          <w:b/>
          <w:i w:val="0"/>
        </w:rPr>
        <w:br/>
        <w:t xml:space="preserve">     Bãi bỏ Thông tư số 179/2012/TT-BTC ngày 24 tháng 10 năm 2012 của Bộ trưởng Bộ Tài chính quy định về ghi nhận, đánh giá, xử lý các khoản chênh lệch tỷ giá hối đoái trong doanh nghiệp</w:t>
      </w:r>
    </w:p>
    <w:p>
      <w:pPr>
        <w:jc w:val="both"/>
      </w:pPr>
      <w:r>
        <w:rPr>
          <w:b w:val="0"/>
          <w:i/>
        </w:rPr>
        <w:t>Căn cứ</w:t>
      </w:r>
      <w:r>
        <w:rPr>
          <w:b w:val="0"/>
          <w:i/>
        </w:rPr>
        <w:t xml:space="preserve"> </w:t>
      </w:r>
      <w:r>
        <w:rPr>
          <w:b w:val="0"/>
          <w:i/>
        </w:rPr>
        <w:t>Luật Ban hành văn bản quy phạm pháp luật</w:t>
      </w:r>
      <w:r>
        <w:rPr>
          <w:b w:val="0"/>
          <w:i/>
        </w:rPr>
        <w:t xml:space="preserve"> </w:t>
      </w:r>
      <w:r>
        <w:rPr>
          <w:b w:val="0"/>
          <w:i/>
        </w:rPr>
        <w:t>ngày 22 tháng 6 năm 2015;</w:t>
      </w:r>
    </w:p>
    <w:p>
      <w:pPr>
        <w:jc w:val="both"/>
      </w:pPr>
      <w:r>
        <w:rPr>
          <w:b w:val="0"/>
          <w:i/>
        </w:rPr>
        <w:t>Căn cứ</w:t>
      </w:r>
      <w:r>
        <w:rPr>
          <w:b w:val="0"/>
          <w:i/>
        </w:rPr>
        <w:t xml:space="preserve"> </w:t>
      </w:r>
      <w:r>
        <w:rPr>
          <w:b w:val="0"/>
          <w:i/>
        </w:rPr>
        <w:t>Luật sửa đổi, bổ sung một số điều của Luật Ban hành văn bản quy phạm pháp luật</w:t>
      </w:r>
      <w:r>
        <w:rPr>
          <w:b w:val="0"/>
          <w:i/>
        </w:rPr>
        <w:t xml:space="preserve"> </w:t>
      </w:r>
      <w:r>
        <w:rPr>
          <w:b w:val="0"/>
          <w:i/>
        </w:rPr>
        <w:t>ngày 18 tháng 6 năm 2020;</w:t>
      </w:r>
    </w:p>
    <w:p>
      <w:pPr>
        <w:jc w:val="both"/>
      </w:pPr>
      <w:r>
        <w:rPr>
          <w:b w:val="0"/>
          <w:i/>
        </w:rPr>
        <w:t>Căn cứ Nghị định số</w:t>
      </w:r>
      <w:r>
        <w:rPr>
          <w:b w:val="0"/>
          <w:i/>
        </w:rPr>
        <w:t xml:space="preserve"> </w:t>
      </w:r>
      <w:r>
        <w:rPr>
          <w:b w:val="0"/>
          <w:i/>
        </w:rPr>
        <w:t>34/2016/NĐ-CP</w:t>
      </w:r>
      <w:r>
        <w:rPr>
          <w:b w:val="0"/>
          <w:i/>
        </w:rPr>
        <w:t xml:space="preserve"> </w:t>
      </w:r>
      <w:r>
        <w:rPr>
          <w:b w:val="0"/>
          <w:i/>
        </w:rPr>
        <w:t>ngày 14 tháng 5 năm 2016 của Chính phủ quy định chi tiết một số điều và biện pháp thi hành Luật Ban hành văn bản quy phạm pháp luật;</w:t>
      </w:r>
    </w:p>
    <w:p>
      <w:pPr>
        <w:jc w:val="both"/>
      </w:pPr>
      <w:r>
        <w:rPr>
          <w:b w:val="0"/>
          <w:i/>
        </w:rPr>
        <w:t>Căn cứ Nghị định số</w:t>
      </w:r>
      <w:r>
        <w:rPr>
          <w:b w:val="0"/>
          <w:i/>
        </w:rPr>
        <w:t xml:space="preserve"> </w:t>
      </w:r>
      <w:r>
        <w:rPr>
          <w:b w:val="0"/>
          <w:i/>
        </w:rPr>
        <w:t>154/2020/NĐ-CP</w:t>
      </w:r>
      <w:r>
        <w:rPr>
          <w:b w:val="0"/>
          <w:i/>
        </w:rPr>
        <w:t xml:space="preserve"> </w:t>
      </w:r>
      <w:r>
        <w:rPr>
          <w:b w:val="0"/>
          <w:i/>
        </w:rPr>
        <w:t>ngày 31 tháng 12 năm 2020 sửa đổi, bổ sung một số điều của Nghị định số</w:t>
      </w:r>
      <w:r>
        <w:rPr>
          <w:b w:val="0"/>
          <w:i/>
        </w:rPr>
        <w:t xml:space="preserve"> </w:t>
      </w:r>
      <w:r>
        <w:rPr>
          <w:b w:val="0"/>
          <w:i/>
        </w:rPr>
        <w:t>34/2016/NĐ-CP</w:t>
      </w:r>
      <w:r>
        <w:rPr>
          <w:b w:val="0"/>
          <w:i/>
        </w:rPr>
        <w:t xml:space="preserve"> </w:t>
      </w:r>
      <w:r>
        <w:rPr>
          <w:b w:val="0"/>
          <w:i/>
        </w:rPr>
        <w:t>ngày 14 tháng 5 năm 2016 của Chính phủ quy định chi tiết một số điều và biện pháp thi hành Luật Ban hành văn bản quy phạm pháp luật;</w:t>
      </w:r>
    </w:p>
    <w:p>
      <w:pPr>
        <w:jc w:val="both"/>
      </w:pPr>
      <w:r>
        <w:rPr>
          <w:b w:val="0"/>
          <w:i/>
        </w:rPr>
        <w:t>Căn cứ Nghị định số</w:t>
      </w:r>
      <w:r>
        <w:rPr>
          <w:b w:val="0"/>
          <w:i/>
        </w:rPr>
        <w:t xml:space="preserve"> </w:t>
      </w:r>
      <w:r>
        <w:rPr>
          <w:b w:val="0"/>
          <w:i/>
        </w:rPr>
        <w:t>87/2017/NĐ-CP</w:t>
      </w:r>
      <w:r>
        <w:rPr>
          <w:b w:val="0"/>
          <w:i/>
        </w:rPr>
        <w:t xml:space="preserve"> </w:t>
      </w:r>
      <w:r>
        <w:rPr>
          <w:b w:val="0"/>
          <w:i/>
        </w:rPr>
        <w:t>ngày 26 tháng 7 năm 2017 của Chính phủ quy định chức năng, nhiệm vụ, quyền hạn và cơ cấu tổ chức của Bộ Tài chính;</w:t>
      </w:r>
    </w:p>
    <w:p>
      <w:pPr>
        <w:jc w:val="both"/>
      </w:pPr>
      <w:r>
        <w:rPr>
          <w:b w:val="0"/>
          <w:i/>
        </w:rPr>
        <w:t>Theo đề nghị của Cục trưởng Cục Tài chính doanh nghiệp;</w:t>
      </w:r>
    </w:p>
    <w:p>
      <w:pPr>
        <w:jc w:val="both"/>
      </w:pPr>
      <w:r>
        <w:rPr>
          <w:b w:val="0"/>
          <w:i/>
        </w:rPr>
        <w:t>Bộ trưởng Bộ Tài chính ban hành Thông tư bãi bỏ Thông tư số</w:t>
      </w:r>
      <w:r>
        <w:rPr>
          <w:b w:val="0"/>
          <w:i/>
        </w:rPr>
        <w:t xml:space="preserve"> </w:t>
      </w:r>
      <w:r>
        <w:rPr>
          <w:b w:val="0"/>
          <w:i/>
        </w:rPr>
        <w:t>179/2012/TT-BTC</w:t>
      </w:r>
      <w:r>
        <w:rPr>
          <w:b w:val="0"/>
          <w:i/>
        </w:rPr>
        <w:t xml:space="preserve"> </w:t>
      </w:r>
      <w:r>
        <w:rPr>
          <w:b w:val="0"/>
          <w:i/>
        </w:rPr>
        <w:t>ngày 24 tháng 10 năm 2012 của Bộ trưởng Bộ Tài chính quy định về ghi nhận, đánh giá, xử lý các khoản chênh lệch tỷ giá hối đoái trong doanh nghiệp như sau:</w:t>
      </w:r>
    </w:p>
    <w:p>
      <w:pPr>
        <w:jc w:val="both"/>
      </w:pPr>
      <w:r>
        <w:rPr>
          <w:b/>
          <w:i w:val="0"/>
        </w:rPr>
        <w:t>Điều 1.</w:t>
      </w:r>
      <w:r>
        <w:rPr>
          <w:b/>
          <w:i w:val="0"/>
        </w:rPr>
        <w:t xml:space="preserve"> </w:t>
      </w:r>
      <w:r>
        <w:rPr>
          <w:b w:val="0"/>
          <w:i w:val="0"/>
        </w:rPr>
        <w:t>Bãi bỏ toàn bộ Thông tư số 179/2012/TT-BTC ngày 24 tháng 10 năm 2012 của Bộ trưởng Bộ Tài chính quy định về ghi nhận, đánh giá, xử lý các khoản chênh lệch tỷ giá hối đoái trong doanh nghiệp.</w:t>
      </w:r>
    </w:p>
    <w:p>
      <w:pPr>
        <w:jc w:val="both"/>
      </w:pPr>
      <w:r>
        <w:rPr>
          <w:b/>
          <w:i w:val="0"/>
        </w:rPr>
        <w:t>Điều 2. Hiệu lực thi hành</w:t>
      </w:r>
    </w:p>
    <w:p>
      <w:pPr>
        <w:jc w:val="both"/>
      </w:pPr>
      <w:r>
        <w:rPr>
          <w:b w:val="0"/>
          <w:i w:val="0"/>
        </w:rPr>
        <w:t>1. Thông tư này có hiệu lực thi hành kể từ ngày 11 tháng 7 năm 2021.</w:t>
      </w:r>
    </w:p>
    <w:p>
      <w:pPr>
        <w:jc w:val="both"/>
      </w:pPr>
      <w:r>
        <w:rPr>
          <w:b w:val="0"/>
          <w:i w:val="0"/>
        </w:rPr>
        <w:t>2. Cục trưởng Cục Tài chính doanh nghiệp, Thủ trưởng các đơn vị thuộc Bộ Tài chính và các cơ quan,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các Phó Thủ tướng Chính phủ;</w:t>
            </w:r>
            <w:r>
              <w:br/>
            </w:r>
            <w:r>
              <w:rPr>
                <w:b w:val="0"/>
                <w:i w:val="0"/>
              </w:rPr>
              <w:br/>
              <w:t xml:space="preserve">         - Các Bộ, cơ quan ngang Bộ, cơ quan thuộc CP;</w:t>
            </w:r>
            <w:r>
              <w:br/>
            </w:r>
            <w:r>
              <w:rPr>
                <w:b w:val="0"/>
                <w:i w:val="0"/>
              </w:rPr>
              <w:br/>
              <w:t xml:space="preserve">         - HĐND, UBND các tỉnh, TP trực thuộc TW;</w:t>
            </w:r>
            <w:r>
              <w:br/>
            </w:r>
            <w:r>
              <w:rPr>
                <w:b w:val="0"/>
                <w:i w:val="0"/>
              </w:rPr>
              <w:br/>
              <w:t xml:space="preserve">         - Văn phòng TW &amp; các Ban của Đảng;</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-Văn phòng Tổng Bí thư;</w:t>
            </w:r>
            <w:r>
              <w:br/>
            </w:r>
            <w:r>
              <w:rPr>
                <w:b w:val="0"/>
                <w:i w:val="0"/>
              </w:rPr>
              <w:br/>
              <w:t xml:space="preserve">         - VP ban chỉ đạo TW về phòng, chống tham nhũng;</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Cơ quan TW của các đoàn thể;</w:t>
            </w:r>
            <w:r>
              <w:br/>
            </w:r>
            <w:r>
              <w:rPr>
                <w:b w:val="0"/>
                <w:i w:val="0"/>
              </w:rPr>
              <w:br/>
              <w:t xml:space="preserve">         - Sở Tài chính các tỉnh, TP trực thuộc TW;</w:t>
            </w:r>
            <w:r>
              <w:br/>
            </w:r>
            <w:r>
              <w:rPr>
                <w:b w:val="0"/>
                <w:i w:val="0"/>
              </w:rPr>
              <w:br/>
              <w:t xml:space="preserve">         - Các Tập đoàn kinh tế, Tổng công ty nhà nước;</w:t>
            </w:r>
            <w:r>
              <w:br/>
            </w:r>
            <w:r>
              <w:rPr>
                <w:b w:val="0"/>
                <w:i w:val="0"/>
              </w:rPr>
              <w:br/>
              <w:t xml:space="preserve">         - Cục Kiểm tra văn bản (Bộ Tư pháp);</w:t>
            </w:r>
            <w:r>
              <w:br/>
            </w:r>
            <w:r>
              <w:rPr>
                <w:b w:val="0"/>
                <w:i w:val="0"/>
              </w:rPr>
              <w:br/>
              <w:t xml:space="preserve">         - Công báo, Website Chính phủ;</w:t>
            </w:r>
            <w:r>
              <w:br/>
            </w:r>
            <w:r>
              <w:rPr>
                <w:b w:val="0"/>
                <w:i w:val="0"/>
              </w:rPr>
              <w:br/>
              <w:t xml:space="preserve">         - Website Bộ Tài chính;</w:t>
            </w:r>
            <w:r>
              <w:br/>
            </w:r>
            <w:r>
              <w:rPr>
                <w:b w:val="0"/>
                <w:i w:val="0"/>
              </w:rPr>
              <w:br/>
              <w:t xml:space="preserve">         - Các đơn vị thuộc Bộ Tài chính;</w:t>
            </w:r>
            <w:r>
              <w:br/>
            </w:r>
            <w:r>
              <w:rPr>
                <w:b w:val="0"/>
                <w:i w:val="0"/>
              </w:rPr>
              <w:br/>
              <w:t xml:space="preserve">         - Lưu: VT, Cục TCDN.</w:t>
            </w:r>
          </w:p>
        </w:tc>
        <w:tc>
          <w:tcPr>
            <w:tcW w:type="dxa" w:w="4320"/>
          </w:tcPr>
          <w:p>
            <w:r>
              <w:rPr>
                <w:b w:val="0"/>
                <w:i w:val="0"/>
              </w:rPr>
              <w:br/>
            </w:r>
            <w:r>
              <w:rPr>
                <w:b/>
                <w:i w:val="0"/>
              </w:rPr>
              <w:t>KT. BỘ TRƯỞNG</w:t>
            </w:r>
            <w:r>
              <w:br/>
            </w:r>
            <w:r>
              <w:rPr>
                <w:b/>
                <w:i w:val="0"/>
              </w:rPr>
              <w:br/>
              <w:t xml:space="preserve">         THỨ TRƯỞNG</w:t>
            </w:r>
            <w:r>
              <w:br/>
            </w:r>
            <w:r>
              <w:rPr>
                <w:b/>
                <w:i/>
              </w:rPr>
              <w:t>(Đã ký)</w:t>
            </w:r>
            <w:r>
              <w:br/>
            </w:r>
            <w:r>
              <w:br/>
            </w:r>
            <w:r>
              <w:br/>
            </w:r>
            <w:r>
              <w:br/>
            </w:r>
            <w:r>
              <w:rPr>
                <w:b/>
                <w:i w:val="0"/>
              </w:rPr>
              <w:br/>
              <w:t xml:space="preserve">         Huỳnh Quang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