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 TC/NT Hướng dẫn tạm thời về chế độ Tài chính đối với hoạt động xuất nhập khẩu của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rPr>
        <w:t xml:space="preserve"> </w:t>
      </w:r>
      <w:r>
        <w:rPr>
          <w:b/>
          <w:i w:val="0"/>
        </w:rPr>
        <w:t>THÔNG TƯ</w:t>
      </w:r>
      <w:r>
        <w:rPr>
          <w:b/>
          <w:i w:val="0"/>
        </w:rPr>
        <w:t xml:space="preserve"> </w:t>
      </w:r>
    </w:p>
    <w:p>
      <w:pPr>
        <w:jc w:val="center"/>
      </w:pPr>
      <w:r>
        <w:rPr>
          <w:b/>
          <w:i w:val="0"/>
        </w:rPr>
        <w:t>QUY ĐỊNH BỔ SUNG KHOẢN THU KHUYẾN KHÍCH CHO NGÂN SÁCH ĐỊA PHƯƠNG VỀ GIAO NỘP THUỐC LÁ LÁ, LỢN THỊT CHO T.W.</w:t>
      </w:r>
    </w:p>
    <w:p>
      <w:r>
        <w:rPr>
          <w:b w:val="0"/>
          <w:i w:val="0"/>
        </w:rPr>
        <w:t>Căn cứ quyết định số 313/CP ngày 1/10/1980 của Hội đồng Chính phủ về việc Ngân sách địa phương được hưởng khoản thu khuyến khích giao nộp thuốc lá lá, lợn thịt cho trung ương; Bộ Tài chính đã ra các thông tư số 02 TC/QLNS ngày 12/2/1981 và thông tư số 08 TC/TQD ngày 25/5/1981 hướng dẫn việc nộp khoản thu khuyến khích nói trên cho Ngân sách địa phương. Để phù hợp với giá chỉ đạo thu mua mới, quy định tại quyết định số 95/CP ngày 20/9/1981 của Hội đồng Bộ trưởng, Bộ Tài chính quy định bổ sung mức Ngân sách địa phương được hưởng về khoản thu khuyến khích giao nộp thuốc lá lá, lợn thịt cho trung ương như sau:</w:t>
      </w:r>
    </w:p>
    <w:p>
      <w:r>
        <w:rPr>
          <w:b w:val="0"/>
          <w:i w:val="0"/>
        </w:rPr>
        <w:t xml:space="preserve">a) </w:t>
      </w:r>
      <w:r>
        <w:rPr>
          <w:b w:val="0"/>
          <w:i w:val="0"/>
        </w:rPr>
        <w:t>Về lợn thịt</w:t>
      </w:r>
      <w:r>
        <w:rPr>
          <w:b w:val="0"/>
          <w:i w:val="0"/>
        </w:rPr>
        <w:t>: Trước Ngân sách địa phương được hưởng 400đ/T, nay định lại là 1800đ/Tấn (một nghìn tám trăm đồng). Đối với trâu bò thịt sẽ quy định sau khi có giá chỉ đạo thu mua mới của chính phủ.</w:t>
      </w:r>
    </w:p>
    <w:p>
      <w:r>
        <w:rPr>
          <w:b w:val="0"/>
          <w:i w:val="0"/>
        </w:rPr>
        <w:t xml:space="preserve">b) </w:t>
      </w:r>
      <w:r>
        <w:rPr>
          <w:b w:val="0"/>
          <w:i w:val="0"/>
        </w:rPr>
        <w:t>Về thuốc lá lá:</w:t>
      </w:r>
      <w:r>
        <w:rPr>
          <w:b w:val="0"/>
          <w:i w:val="0"/>
        </w:rPr>
        <w:t xml:space="preserve"> Ngân sách địa phương  được hưởng khoản thu bằng 50% tổng trị giá thuốc lá lá giao nộp cho trung ương tính theo giá chỉ đạo thu mua mới (của từng loại phẩm cấp).</w:t>
      </w:r>
    </w:p>
    <w:p>
      <w:r>
        <w:rPr>
          <w:b w:val="0"/>
          <w:i w:val="0"/>
        </w:rPr>
        <w:t>Cơ sở tính toán mức thu khuyến khích, đối tượng nộp, chế độ nộp khoản thu khuyến khích v.v... cho Ngân sách địa phương vẫn áp dụng đúng như quy định trong thông tư số 02 TC/QLNS và số 08 TC/TQD của Bộ Tài chính nói trên.</w:t>
      </w:r>
    </w:p>
    <w:p>
      <w:r>
        <w:rPr>
          <w:b w:val="0"/>
          <w:i w:val="0"/>
        </w:rPr>
        <w:t>Thông tư này có hiệu lực thi hành kể từ ngày 1/1/1981.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Nơi gửi:</w:t>
            </w:r>
            <w:r>
              <w:rPr>
                <w:b w:val="0"/>
                <w:i w:val="0"/>
              </w:rPr>
              <w:br/>
            </w:r>
            <w:r>
              <w:rPr>
                <w:b w:val="0"/>
                <w:i w:val="0"/>
              </w:rPr>
              <w:t>-VP HĐBT để "báo cáo"</w:t>
            </w:r>
            <w:r>
              <w:rPr>
                <w:b w:val="0"/>
                <w:i w:val="0"/>
              </w:rPr>
              <w:br/>
            </w:r>
            <w:r>
              <w:rPr>
                <w:b w:val="0"/>
                <w:i w:val="0"/>
              </w:rPr>
              <w:t>- Bộ Nội thương</w:t>
            </w:r>
            <w:r>
              <w:rPr>
                <w:b w:val="0"/>
                <w:i w:val="0"/>
              </w:rPr>
              <w:br/>
            </w:r>
            <w:r>
              <w:rPr>
                <w:b w:val="0"/>
                <w:i w:val="0"/>
              </w:rPr>
              <w:t>- Bộ Công nghiệp T.phẩm</w:t>
            </w:r>
            <w:r>
              <w:rPr>
                <w:b w:val="0"/>
                <w:i w:val="0"/>
              </w:rPr>
              <w:br/>
            </w:r>
            <w:r>
              <w:rPr>
                <w:b w:val="0"/>
                <w:i w:val="0"/>
              </w:rPr>
              <w:t>- UBND các tỉnh, thành phố, đặc khu</w:t>
            </w:r>
            <w:r>
              <w:rPr>
                <w:b w:val="0"/>
                <w:i w:val="0"/>
              </w:rPr>
              <w:br/>
            </w:r>
            <w:r>
              <w:rPr>
                <w:b w:val="0"/>
                <w:i w:val="0"/>
              </w:rPr>
              <w:t>- Sở, Ty Tài chính</w:t>
            </w:r>
            <w:r>
              <w:rPr>
                <w:b w:val="0"/>
                <w:i w:val="0"/>
              </w:rPr>
              <w:br/>
            </w:r>
            <w:r>
              <w:rPr>
                <w:b w:val="0"/>
                <w:i w:val="0"/>
              </w:rPr>
              <w:t>- NHNN các tỉnh, thành phố, đặc khu</w:t>
            </w:r>
          </w:p>
        </w:tc>
        <w:tc>
          <w:tcPr>
            <w:tcW w:type="dxa" w:w="4320"/>
          </w:tcPr>
          <w:p>
            <w:r>
              <w:rPr>
                <w:b w:val="0"/>
                <w:i w:val="0"/>
              </w:rPr>
              <w:br/>
            </w:r>
            <w:r>
              <w:rPr>
                <w:b w:val="0"/>
                <w:i w:val="0"/>
              </w:rPr>
              <w:t>KT/BỘ TRƯỞNG BỘ TÀI CHÍNH</w:t>
            </w:r>
            <w:r>
              <w:rPr>
                <w:b w:val="0"/>
                <w:i w:val="0"/>
              </w:rPr>
              <w:br/>
            </w:r>
            <w:r>
              <w:rPr>
                <w:b w:val="0"/>
                <w:i w:val="0"/>
              </w:rPr>
              <w:t>THỨ TRƯỞNG</w:t>
            </w:r>
            <w:r>
              <w:rPr>
                <w:b w:val="0"/>
                <w:i w:val="0"/>
              </w:rPr>
              <w:br/>
            </w:r>
            <w:r>
              <w:rPr>
                <w:b/>
                <w:i w:val="0"/>
              </w:rPr>
              <w:t xml:space="preserve"> </w:t>
            </w:r>
            <w:r>
              <w:rPr>
                <w:b/>
                <w:i w:val="0"/>
              </w:rPr>
              <w:t xml:space="preserve"> </w:t>
            </w:r>
            <w:r>
              <w:rPr>
                <w:b w:val="0"/>
                <w:i w:val="0"/>
              </w:rPr>
              <w:br/>
            </w:r>
            <w:r>
              <w:rPr>
                <w:b w:val="0"/>
                <w:i w:val="0"/>
              </w:rPr>
              <w:br/>
            </w:r>
            <w:r>
              <w:rPr>
                <w:b w:val="0"/>
                <w:i/>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