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3814/QĐ-BCN Về việc ban hành định mức dự toán chuyên ngành công tác lắp đặt thiết bị nhà máy nhiệt điện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3814/QĐ-BCN</w:t>
      </w:r>
      <w:r>
        <w:rPr>
          <w:b w:val="0"/>
          <w:i w:val="0"/>
        </w:rPr>
        <w:br/>
      </w:r>
      <w:r>
        <w:rPr>
          <w:b w:val="0"/>
          <w:i w:val="0"/>
        </w:rPr>
        <w:br/>
      </w:r>
      <w:r>
        <w:rPr>
          <w:b w:val="0"/>
          <w:i/>
        </w:rPr>
        <w:br/>
      </w:r>
      <w:r>
        <w:rPr>
          <w:b w:val="0"/>
          <w:i/>
        </w:rPr>
        <w:t>Hà Nội, ngày 26 tháng 12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3814/QĐ-BCN</w:t>
      </w:r>
      <w:r>
        <w:rPr>
          <w:b w:val="0"/>
          <w:i w:val="0"/>
        </w:rPr>
        <w:br/>
      </w:r>
      <w:r>
        <w:rPr>
          <w:b w:val="0"/>
          <w:i w:val="0"/>
        </w:rPr>
        <w:br/>
      </w:r>
      <w:r>
        <w:rPr>
          <w:b w:val="0"/>
          <w:i/>
        </w:rPr>
        <w:br/>
      </w:r>
      <w:r>
        <w:rPr>
          <w:b w:val="0"/>
          <w:i/>
        </w:rPr>
        <w:t>Hà Nội, ngày 26 tháng 12 năm 2006</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3814/QĐ-BCN</w:t>
      </w:r>
      <w:r>
        <w:rPr>
          <w:b w:val="0"/>
          <w:i w:val="0"/>
        </w:rPr>
        <w:br/>
      </w:r>
      <w:r>
        <w:rPr>
          <w:b w:val="0"/>
          <w:i w:val="0"/>
        </w:rPr>
        <w:br/>
      </w:r>
      <w:r>
        <w:rPr>
          <w:b w:val="0"/>
          <w:i/>
        </w:rPr>
        <w:br/>
      </w:r>
      <w:r>
        <w:rPr>
          <w:b w:val="0"/>
          <w:i/>
        </w:rPr>
        <w:t>Hà Nội, ngày 26 tháng 12 năm 2006</w:t>
      </w:r>
      <w:r>
        <w:rPr>
          <w:b w:val="0"/>
          <w:i/>
        </w:rPr>
        <w:br/>
      </w:r>
      <w:r>
        <w:rPr>
          <w:b w:val="0"/>
          <w:i w:val="0"/>
        </w:rPr>
        <w:br/>
      </w:r>
    </w:p>
    <w:p>
      <w:pPr>
        <w:jc w:val="center"/>
      </w:pPr>
      <w:r>
        <w:rPr>
          <w:b w:val="0"/>
          <w:i w:val="0"/>
        </w:rPr>
        <w:br/>
      </w:r>
      <w:r>
        <w:rPr>
          <w:b w:val="0"/>
          <w:i w:val="0"/>
        </w:rPr>
        <w:t>Số: 3814/QĐ-BCN</w:t>
      </w:r>
      <w:r>
        <w:rPr>
          <w:b w:val="0"/>
          <w:i w:val="0"/>
        </w:rPr>
        <w:br/>
      </w:r>
    </w:p>
    <w:p>
      <w:pPr>
        <w:jc w:val="center"/>
      </w:pPr>
      <w:r>
        <w:rPr>
          <w:b w:val="0"/>
          <w:i w:val="0"/>
        </w:rPr>
        <w:br/>
      </w:r>
      <w:r>
        <w:rPr>
          <w:b w:val="0"/>
          <w:i w:val="0"/>
        </w:rPr>
        <w:t>Hà Nội, ngày 26 tháng 12 năm 2006</w:t>
      </w:r>
      <w:r>
        <w:rPr>
          <w:b w:val="0"/>
          <w:i w:val="0"/>
        </w:rPr>
        <w:br/>
      </w:r>
    </w:p>
    <w:p>
      <w:r>
        <w:rPr>
          <w:b/>
          <w:i w:val="0"/>
        </w:rPr>
        <w:t>QUYẾT ĐỊNH</w:t>
      </w:r>
      <w:r>
        <w:br/>
      </w:r>
      <w:r>
        <w:rPr>
          <w:b/>
          <w:i w:val="0"/>
        </w:rPr>
        <w:t xml:space="preserve">Về việc ban hành định mức dự toán chuyên ngành công tác lắp đặt thiết bị </w:t>
      </w:r>
      <w:r>
        <w:br/>
      </w:r>
      <w:r>
        <w:rPr>
          <w:b/>
          <w:i w:val="0"/>
        </w:rPr>
        <w:br/>
        <w:t xml:space="preserve">      nhà máy nhiệt điện</w:t>
      </w:r>
    </w:p>
    <w:p>
      <w:r>
        <w:rPr>
          <w:b w:val="0"/>
          <w:i w:val="0"/>
        </w:rPr>
        <w:t>__________________</w:t>
      </w:r>
    </w:p>
    <w:p>
      <w:r>
        <w:rPr>
          <w:b/>
          <w:i w:val="0"/>
        </w:rPr>
        <w:t xml:space="preserve">BỘ TRƯỞNG BỘ CÔNG NGHIỆP </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văn bản số 2674/BXD-KTTC ngày 11/12/2006 của Bộ Xây dựng thỏa thuận định mức dự toán chuyên ngành lắp đặt thiết bị nhà máy nhiệt điện;</w:t>
      </w:r>
    </w:p>
    <w:p>
      <w:pPr>
        <w:jc w:val="both"/>
      </w:pPr>
      <w:r>
        <w:rPr>
          <w:b w:val="0"/>
          <w:i/>
        </w:rPr>
        <w:t>Xét tờ trình số 6499/CV-EVN-KTDT ngày 14 tháng 12 năm 2005, số 6618/CV-EVN-KTDT ngày 20 tháng 12 năm 2005 và văn bản số 2136/CV-EVN-KTDT ngày 04/5/2006 của Tổng công ty Điện lực Việt Nam về việc ban hành định mức - đơn giá XDCB chuyên ngành công tác lắp đặt thiết bị nhà máy nhiệt điện;</w:t>
      </w:r>
    </w:p>
    <w:p>
      <w:pPr>
        <w:jc w:val="both"/>
      </w:pPr>
      <w:r>
        <w:rPr>
          <w:b w:val="0"/>
          <w:i/>
        </w:rPr>
        <w:t>Theo đề nghị của Vụ trưởng Vụ Năng lượng và Dầu khí,</w:t>
      </w:r>
    </w:p>
    <w:p>
      <w:pPr>
        <w:jc w:val="center"/>
      </w:pPr>
      <w:r>
        <w:rPr>
          <w:b/>
          <w:i w:val="0"/>
        </w:rPr>
        <w:t>QUYẾT ĐỊNH:</w:t>
      </w:r>
    </w:p>
    <w:p>
      <w:pPr>
        <w:jc w:val="both"/>
      </w:pPr>
      <w:r>
        <w:rPr>
          <w:b/>
          <w:i w:val="0"/>
        </w:rPr>
        <w:t xml:space="preserve">Điều 1. </w:t>
      </w:r>
      <w:r>
        <w:rPr>
          <w:b w:val="0"/>
          <w:i w:val="0"/>
        </w:rPr>
        <w:t>Ban hành kèm theo Quyết định này tập định mức dự toán chuyên ngành công tác lắp đặt thiết bị nhà máy nhiệt điện thay thế tập định mức số 43/2002/QĐ-BCN ngày 18/10/2002 của Bộ Công nghiệp.</w:t>
      </w:r>
    </w:p>
    <w:p>
      <w:pPr>
        <w:jc w:val="both"/>
      </w:pPr>
      <w:r>
        <w:rPr>
          <w:b/>
          <w:i w:val="0"/>
        </w:rPr>
        <w:t xml:space="preserve">Điều 2. </w:t>
      </w:r>
      <w:r>
        <w:rPr>
          <w:b w:val="0"/>
          <w:i w:val="0"/>
        </w:rPr>
        <w:t>Tập định mức dự toán chuyên ngành công tác lắp đặt thiết bị nhà máy nhiệt điện là cơ sở để lập đơn giá chuyên ngành công tác lắp đặt thiết bị nhà máy nhiệt điện.</w:t>
      </w:r>
    </w:p>
    <w:p>
      <w:pPr>
        <w:jc w:val="both"/>
      </w:pPr>
      <w:r>
        <w:rPr>
          <w:b w:val="0"/>
          <w:i w:val="0"/>
        </w:rPr>
        <w:t>Giao Tập đoàn Điện lực Việt Nam chỉ đạo các Ban quản lý dự án, các đơn vị tư vấn theo dõi tổng kết số liệu thực tế, kịp thời đề xuất các ý kiến bổ sung, hiệu chỉnh tập định mức khi cần thiết.</w:t>
      </w:r>
    </w:p>
    <w:p>
      <w:pPr>
        <w:jc w:val="both"/>
      </w:pPr>
      <w:r>
        <w:rPr>
          <w:b/>
          <w:i w:val="0"/>
        </w:rPr>
        <w:t xml:space="preserve">Điều 3. </w:t>
      </w:r>
      <w:r>
        <w:rPr>
          <w:b w:val="0"/>
          <w:i w:val="0"/>
        </w:rPr>
        <w:t>Tập định mức này có hiệu lực thi hành kể từ 01 tháng 01 năm 2007.</w:t>
      </w:r>
    </w:p>
    <w:p>
      <w:pPr>
        <w:jc w:val="both"/>
      </w:pPr>
      <w:r>
        <w:rPr>
          <w:b/>
          <w:i w:val="0"/>
        </w:rPr>
        <w:t xml:space="preserve">Điều 4. </w:t>
      </w:r>
      <w:r>
        <w:rPr>
          <w:b w:val="0"/>
          <w:i w:val="0"/>
        </w:rPr>
        <w:t>Chánh Văn phòng Bộ, Vụ trưởng Vụ Năng lượng và Dầu khí, Tổng Giám đốc Tập đoàn Điện lực Việt Nam và các đơn vị liên quan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