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38/2006/QĐ-BCN Về việc chuyển Công ty Phân đạm và Hoá chất Hà Bắc thành Công ty trách nhiệm hữu hạn một thành viên Phân đạm và Hoá chất Hà Bắc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pPr>
        <w:jc w:val="center"/>
      </w:pPr>
      <w:r>
        <w:rPr>
          <w:b/>
          <w:i w:val="0"/>
        </w:rPr>
        <w:t>QUYẾT ĐỊNH CỦA BỘ TRƯỞNG BỘ CÔNG NGHIỆP</w:t>
      </w:r>
    </w:p>
    <w:p>
      <w:r>
        <w:rPr>
          <w:b/>
          <w:i/>
        </w:rPr>
        <w:t xml:space="preserve">Về việc chuyển Công ty Phân đạm và Hoá chất Hà Bắc </w:t>
      </w:r>
      <w:r>
        <w:rPr>
          <w:b/>
          <w:i/>
        </w:rPr>
        <w:t xml:space="preserve">thành Công ty trách nhiệm hữu hạn một thành viên </w:t>
      </w:r>
      <w:r>
        <w:rPr>
          <w:b/>
          <w:i/>
        </w:rPr>
        <w:t>Phân đạm và Hoá chất Hà Bắc</w:t>
      </w:r>
    </w:p>
    <w:p>
      <w:r>
        <w:rPr>
          <w:b/>
          <w:i/>
        </w:rPr>
        <w:t>___________________</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95/2006/NĐ-CP ngày 08 tháng 9 năm 2006 của Chính phủ về chuyển đổi công ty nhà nước thành công ty trách nhiệm hữu hạn một thành viên;</w:t>
      </w:r>
    </w:p>
    <w:p>
      <w:r>
        <w:rPr>
          <w:b w:val="0"/>
          <w:i/>
        </w:rPr>
        <w:t>Căn cứ Quyết định số 89/2006/QĐ-TTg ngày 24 tháng 4 năm 2006 của Thủ tướng Chính phủ phê duyệt Đề án chuyển Tổng công ty Hoá chất Việt Nam sang hoạt động theo mô hình công ty mẹ - công ty con;</w:t>
      </w:r>
    </w:p>
    <w:p>
      <w:r>
        <w:rPr>
          <w:b w:val="0"/>
          <w:i/>
        </w:rPr>
        <w:t>Xét đề nghị của Hội đồng quản trị Tổng công ty Hoá chất Việt Nam (Công văn số 1068/HCVN-HĐQT ngày 28 tháng 9 năm 2006);</w:t>
      </w:r>
    </w:p>
    <w:p>
      <w:r>
        <w:rPr>
          <w:b w:val="0"/>
          <w:i/>
        </w:rPr>
        <w:t>Theo đề nghị của Vụ trưởng Vụ Tổ chức - Cán bộ,</w:t>
      </w:r>
    </w:p>
    <w:p>
      <w:r>
        <w:rPr>
          <w:b/>
          <w:i w:val="0"/>
        </w:rPr>
        <w:t>QUYẾT ĐỊNH:</w:t>
      </w:r>
    </w:p>
    <w:p>
      <w:r>
        <w:rPr>
          <w:b/>
          <w:i w:val="0"/>
        </w:rPr>
        <w:t>Điều 1.</w:t>
      </w:r>
      <w:r>
        <w:rPr>
          <w:b/>
          <w:i w:val="0"/>
        </w:rPr>
        <w:t xml:space="preserve"> </w:t>
      </w:r>
      <w:r>
        <w:rPr>
          <w:b w:val="0"/>
          <w:i w:val="0"/>
        </w:rPr>
        <w:t>Chuyển Công ty Phân đạm và Hoá chất Hà Bắc - công ty thành viên hạch toán độc lập thuộc Tổng công ty Hoá chất Việt Nam thành Công ty trách nhiệm hữu hạn một thành viên Phân đạm và Hoá chất Hà Bắc.</w:t>
      </w:r>
    </w:p>
    <w:p>
      <w:r>
        <w:rPr>
          <w:b w:val="0"/>
          <w:i w:val="0"/>
        </w:rPr>
        <w:t>Công ty trách nhiệm hữu hạn một thành viên Phân đạm và Hoá chất Hà Bắc có con dấu riêng, được mở tài khoản tại ngân hàng trong và ngoài nước theo quy định của pháp luật, hoạt động theo Điều lệ của công ty và Luật Doanh nghiệp.</w:t>
      </w:r>
    </w:p>
    <w:p>
      <w:r>
        <w:rPr>
          <w:b w:val="0"/>
          <w:i w:val="0"/>
        </w:rPr>
        <w:t>- Tên gọi đầy đủ: Công ty trách nhiệm hữu hạn một thành viên Phân đạm và Hoá chất Hà Bắc.</w:t>
      </w:r>
    </w:p>
    <w:p>
      <w:r>
        <w:rPr>
          <w:b w:val="0"/>
          <w:i w:val="0"/>
        </w:rPr>
        <w:t>- Tên giao dịch: Công ty Phân đạm và Hoá chất Hà Bắc.</w:t>
      </w:r>
    </w:p>
    <w:p>
      <w:r>
        <w:rPr>
          <w:b w:val="0"/>
          <w:i w:val="0"/>
        </w:rPr>
        <w:t>- Tên giao dịch quốc tế: Habac Nitrogenous Fertilizer and Chemical Company Limited.</w:t>
      </w:r>
    </w:p>
    <w:p>
      <w:r>
        <w:rPr>
          <w:b w:val="0"/>
          <w:i w:val="0"/>
        </w:rPr>
        <w:t>- Tên viết tắt tiếng Anh: Hanichemco.</w:t>
      </w:r>
    </w:p>
    <w:p>
      <w:r>
        <w:rPr>
          <w:b w:val="0"/>
          <w:i w:val="0"/>
        </w:rPr>
        <w:t>- Vốn điều lệ: 352.000.000.000 đồng (Ba trăm năm mươi hai tỷ đồng chẵn).</w:t>
      </w:r>
    </w:p>
    <w:p>
      <w:r>
        <w:rPr>
          <w:b w:val="0"/>
          <w:i w:val="0"/>
        </w:rPr>
        <w:t>- Địa chỉ trụ sở chính: phường Thọ Xương, thành phố Bắc Giang, tỉnh Bắc Giang.</w:t>
      </w:r>
    </w:p>
    <w:p>
      <w:r>
        <w:rPr>
          <w:b/>
          <w:i w:val="0"/>
        </w:rPr>
        <w:t>Điều 2.</w:t>
      </w:r>
      <w:r>
        <w:rPr>
          <w:b/>
          <w:i w:val="0"/>
        </w:rPr>
        <w:t xml:space="preserve"> </w:t>
      </w:r>
      <w:r>
        <w:rPr>
          <w:b w:val="0"/>
          <w:i w:val="0"/>
        </w:rPr>
        <w:t>Ngành nghề kinh doanh của công ty:</w:t>
      </w:r>
    </w:p>
    <w:p>
      <w:r>
        <w:rPr>
          <w:b w:val="0"/>
          <w:i w:val="0"/>
        </w:rPr>
        <w:t>- Sản xuất, kinh doanh phân đạm Urê, phân hỗn hợp NPK;</w:t>
      </w:r>
    </w:p>
    <w:p>
      <w:r>
        <w:rPr>
          <w:b w:val="0"/>
          <w:i w:val="0"/>
        </w:rPr>
        <w:t>- Sản xuất, kinh doanh hoá chất cơ bản;</w:t>
      </w:r>
    </w:p>
    <w:p>
      <w:r>
        <w:rPr>
          <w:b w:val="0"/>
          <w:i w:val="0"/>
        </w:rPr>
        <w:t>- Sản xuất, kinh doanh điện. Quản lý vận hành lưới điện phân phối trong phạm vi Công ty Phân đạm và Hoá chất Hà Bắc quản lý có cấp điện áp từ 35 KV trở xuống;</w:t>
      </w:r>
    </w:p>
    <w:p>
      <w:r>
        <w:rPr>
          <w:b w:val="0"/>
          <w:i w:val="0"/>
        </w:rPr>
        <w:t>- Sản xuất, kinh doanh NH3 lỏng, CO2 lỏng - rắn, các sản phẩm khí công nghiệp;</w:t>
      </w:r>
    </w:p>
    <w:p>
      <w:r>
        <w:rPr>
          <w:b w:val="0"/>
          <w:i w:val="0"/>
        </w:rPr>
        <w:t>- Sản xuất, kinh doanh hàng cơ khí;</w:t>
      </w:r>
    </w:p>
    <w:p>
      <w:r>
        <w:rPr>
          <w:b w:val="0"/>
          <w:i w:val="0"/>
        </w:rPr>
        <w:t>- Xây lắp các công trình. Lập dự án đầu tư xây dựng công trình. Thiết kế thiết bị, công nghệ công trình hoá chất;</w:t>
      </w:r>
    </w:p>
    <w:p>
      <w:r>
        <w:rPr>
          <w:b w:val="0"/>
          <w:i w:val="0"/>
        </w:rPr>
        <w:t>- Đầu tư và kinh doanh tài chính;</w:t>
      </w:r>
    </w:p>
    <w:p>
      <w:r>
        <w:rPr>
          <w:b w:val="0"/>
          <w:i w:val="0"/>
        </w:rPr>
        <w:t>- Kinh doanh các ngành nghề khác theo quy định của pháp luật.</w:t>
      </w:r>
    </w:p>
    <w:p>
      <w:r>
        <w:rPr>
          <w:b/>
          <w:i w:val="0"/>
        </w:rPr>
        <w:t>Điều 3.</w:t>
      </w:r>
      <w:r>
        <w:rPr>
          <w:b/>
          <w:i w:val="0"/>
        </w:rPr>
        <w:t xml:space="preserve"> </w:t>
      </w:r>
      <w:r>
        <w:rPr>
          <w:b w:val="0"/>
          <w:i w:val="0"/>
        </w:rPr>
        <w:t>Tổ chức và hoạt động:</w:t>
      </w:r>
    </w:p>
    <w:p>
      <w:r>
        <w:rPr>
          <w:b w:val="0"/>
          <w:i w:val="0"/>
        </w:rPr>
        <w:t>1. Cơ cấu tổ chức quản lý của Công ty:</w:t>
      </w:r>
    </w:p>
    <w:p>
      <w:r>
        <w:rPr>
          <w:b w:val="0"/>
          <w:i w:val="0"/>
        </w:rPr>
        <w:t>- Theo mô hình: Hội đồng thành viên, Tổng giám đốc, Kiểm soát viên và bộ máy giúp việc.</w:t>
      </w:r>
    </w:p>
    <w:p>
      <w:r>
        <w:rPr>
          <w:b w:val="0"/>
          <w:i w:val="0"/>
        </w:rPr>
        <w:t>- Các đơn vị sản xuất kinh doanh trực thuộc.</w:t>
      </w:r>
    </w:p>
    <w:p>
      <w:r>
        <w:rPr>
          <w:b w:val="0"/>
          <w:i w:val="0"/>
        </w:rPr>
        <w:t>2. Tổ chức và hoạt động của Công ty được quy định cụ thể trong Điều lệ tổ chức và hoạt động của Công ty.</w:t>
      </w:r>
    </w:p>
    <w:p>
      <w:r>
        <w:rPr>
          <w:b/>
          <w:i w:val="0"/>
        </w:rPr>
        <w:t>Điều 4.</w:t>
      </w:r>
      <w:r>
        <w:rPr>
          <w:b/>
          <w:i w:val="0"/>
        </w:rPr>
        <w:t xml:space="preserve"> </w:t>
      </w:r>
      <w:r>
        <w:rPr>
          <w:b w:val="0"/>
          <w:i w:val="0"/>
        </w:rPr>
        <w:t>Tổ chức được Nhà nước uỷ quyền đại diện chủ sở hữu là Hội đồng quản trị Tổng công ty Hoá chất Việt Nam.</w:t>
      </w:r>
    </w:p>
    <w:p>
      <w:r>
        <w:rPr>
          <w:b w:val="0"/>
          <w:i w:val="0"/>
        </w:rPr>
        <w:t>Trụ sở chính: số 1A, Tràng Tiền, quận Hoàn Kiếm, thành phố Hà Nội.</w:t>
      </w:r>
    </w:p>
    <w:p>
      <w:r>
        <w:rPr>
          <w:b w:val="0"/>
          <w:i w:val="0"/>
        </w:rPr>
        <w:t>Hội đồng quản trị Tổng công ty Hoá chất Việt Nam có trách nhiệm thực hiện quyền đại diện chủ sở hữu đối với Công ty trách nhiệm hữu hạn một thành viên Phân đạm và Hoá chất Hà Bắc theo quy định hiện hành và theo Điều lệ công ty.</w:t>
      </w:r>
    </w:p>
    <w:p>
      <w:r>
        <w:rPr>
          <w:b/>
          <w:i w:val="0"/>
        </w:rPr>
        <w:t>Điều 5.</w:t>
      </w:r>
      <w:r>
        <w:rPr>
          <w:b/>
          <w:i w:val="0"/>
        </w:rPr>
        <w:t xml:space="preserve"> </w:t>
      </w:r>
      <w:r>
        <w:rPr>
          <w:b w:val="0"/>
          <w:i w:val="0"/>
        </w:rPr>
        <w:t>Công ty trách nhiệm hữu hạn một thành viên Phân đạm và hoá chất Hà Bắc có trách nhiệm tiếp nhận và sử dụng hiệu quả vốn, tài sản do Hội đồng quản trị Tổng công ty Hoá chất Việt Nam giao để thực hiện nhiệm vụ phát triển sản xuất, kinh doanh; kế thừa mọi quyền, nghĩa vụ và lợi ích hợp pháp của Công ty Phân đạm và Hoá chất Hà Bắc.</w:t>
      </w:r>
    </w:p>
    <w:p>
      <w:r>
        <w:rPr>
          <w:b/>
          <w:i w:val="0"/>
        </w:rPr>
        <w:t>Điều 6.</w:t>
      </w:r>
      <w:r>
        <w:rPr>
          <w:b w:val="0"/>
          <w:i w:val="0"/>
        </w:rPr>
        <w:t xml:space="preserve"> Hội đồng thành viên Công ty trách nhiệm hữu hạn một thành viên Phân đạm và Hoá chất Hà Bắc có trách nhiệm xây dựng Điều lệ tổ chức và hoạt động của Công ty trình Hội đồng quản trị Tổng công ty Hoá chất Việt Nam phê duyệt.</w:t>
      </w:r>
    </w:p>
    <w:p>
      <w:r>
        <w:rPr>
          <w:b/>
          <w:i w:val="0"/>
        </w:rPr>
        <w:t>Điều 7.</w:t>
      </w:r>
      <w:r>
        <w:rPr>
          <w:b/>
          <w:i w:val="0"/>
        </w:rPr>
        <w:t xml:space="preserve"> </w:t>
      </w:r>
      <w:r>
        <w:rPr>
          <w:b w:val="0"/>
          <w:i w:val="0"/>
        </w:rPr>
        <w:t>Quyết định này có hiệu lực thi hành sau 15 ngày, kể từ ngày đăng Công báo.</w:t>
      </w:r>
    </w:p>
    <w:p>
      <w:r>
        <w:rPr>
          <w:b w:val="0"/>
          <w:i w:val="0"/>
        </w:rPr>
        <w:t>Chánh Văn phòng Bộ, Chánh Thanh tra Bộ, các Vụ trưởng, Cục trưởng thuộc Bộ, Hội đồng quản trị và Tổng giám đốc Tổng công ty Hoá chất Việt Nam, Giám đốc Công ty Phân đạm và Hoá chất Hà Bắc và Hội đồng thành viên, Tổng giám đốc Công ty trách nhiệm hữu hạn một thành viên Phân đạm và Hoá chất Hà Bắc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 :</w:t>
            </w:r>
            <w:r>
              <w:br/>
            </w:r>
            <w:r>
              <w:rPr>
                <w:b w:val="0"/>
                <w:i w:val="0"/>
              </w:rPr>
              <w:br/>
              <w:t xml:space="preserve">        - Như  Điều 4,</w:t>
            </w:r>
            <w:r>
              <w:br/>
            </w:r>
            <w:r>
              <w:rPr>
                <w:b w:val="0"/>
                <w:i w:val="0"/>
              </w:rPr>
              <w:br/>
              <w:t xml:space="preserve">        - Văn phòng Chính phủ,</w:t>
            </w:r>
            <w:r>
              <w:br/>
            </w:r>
            <w:r>
              <w:rPr>
                <w:b w:val="0"/>
                <w:i w:val="0"/>
              </w:rPr>
              <w:br/>
              <w:t xml:space="preserve">        - Ban Chỉ đạo ĐM và PTDN,</w:t>
            </w:r>
            <w:r>
              <w:br/>
            </w:r>
            <w:r>
              <w:rPr>
                <w:b w:val="0"/>
                <w:i w:val="0"/>
              </w:rPr>
              <w:br/>
              <w:t xml:space="preserve">        - Bộ Kế hoạch và Đầu tư, Bộ Tài chính,</w:t>
            </w:r>
            <w:r>
              <w:br/>
            </w:r>
            <w:r>
              <w:rPr>
                <w:b w:val="0"/>
                <w:i w:val="0"/>
              </w:rPr>
              <w:br/>
              <w:t xml:space="preserve">        - Bộ Nội vụ, Bộ LĐ - TB và XH,</w:t>
            </w:r>
            <w:r>
              <w:br/>
            </w:r>
            <w:r>
              <w:rPr>
                <w:b w:val="0"/>
                <w:i w:val="0"/>
              </w:rPr>
              <w:br/>
              <w:t xml:space="preserve">        - Bộ Tư pháp,</w:t>
            </w:r>
            <w:r>
              <w:br/>
            </w:r>
            <w:r>
              <w:rPr>
                <w:b w:val="0"/>
                <w:i w:val="0"/>
              </w:rPr>
              <w:br/>
              <w:t xml:space="preserve">        - Ngân hàng Nhà nước VN,</w:t>
            </w:r>
            <w:r>
              <w:br/>
            </w:r>
            <w:r>
              <w:rPr>
                <w:b w:val="0"/>
                <w:i w:val="0"/>
              </w:rPr>
              <w:br/>
              <w:t xml:space="preserve">        - UBND tỉnh Bắc Giang,</w:t>
            </w:r>
            <w:r>
              <w:br/>
            </w:r>
            <w:r>
              <w:rPr>
                <w:b w:val="0"/>
                <w:i w:val="0"/>
              </w:rPr>
              <w:br/>
              <w:t xml:space="preserve">        - Công đoàn CNVN,</w:t>
            </w:r>
            <w:r>
              <w:br/>
            </w:r>
            <w:r>
              <w:rPr>
                <w:b w:val="0"/>
                <w:i w:val="0"/>
              </w:rPr>
              <w:br/>
              <w:t xml:space="preserve">        - Các đ/c Thứ trưởng,</w:t>
            </w:r>
            <w:r>
              <w:br/>
            </w:r>
            <w:r>
              <w:rPr>
                <w:b w:val="0"/>
                <w:i w:val="0"/>
              </w:rPr>
              <w:br/>
              <w:t xml:space="preserve">        - Ban ĐM và PTDN Bộ,</w:t>
            </w:r>
            <w:r>
              <w:br/>
            </w:r>
            <w:r>
              <w:rPr>
                <w:b w:val="0"/>
                <w:i w:val="0"/>
              </w:rPr>
              <w:br/>
              <w:t xml:space="preserve">        - Công báo,</w:t>
            </w:r>
            <w:r>
              <w:br/>
            </w:r>
            <w:r>
              <w:rPr>
                <w:b w:val="0"/>
                <w:i w:val="0"/>
              </w:rPr>
              <w:br/>
              <w:t xml:space="preserve">        - Website Chính phủ,</w:t>
            </w:r>
            <w:r>
              <w:br/>
            </w:r>
            <w:r>
              <w:rPr>
                <w:b w:val="0"/>
                <w:i w:val="0"/>
              </w:rPr>
              <w:br/>
              <w:t xml:space="preserve">        - Lưu: VT, TCCB.  </w:t>
            </w:r>
          </w:p>
        </w:tc>
        <w:tc>
          <w:tcPr>
            <w:tcW w:type="dxa" w:w="4320"/>
          </w:tcPr>
          <w:p>
            <w:r>
              <w:rPr>
                <w:b w:val="0"/>
                <w:i w:val="0"/>
              </w:rPr>
              <w:br/>
            </w:r>
            <w:r>
              <w:rPr>
                <w:b/>
                <w:i w:val="0"/>
              </w:rPr>
              <w:t>KT.BỘ TRƯỞNG</w:t>
            </w:r>
            <w:r>
              <w:br/>
            </w:r>
            <w:r>
              <w:rPr>
                <w:b/>
                <w:i w:val="0"/>
              </w:rPr>
              <w:br/>
              <w:t xml:space="preserve">         THỨ TRƯỞNG</w:t>
            </w:r>
            <w:r>
              <w:br/>
            </w:r>
            <w:r>
              <w:br/>
            </w:r>
            <w:r>
              <w:rPr>
                <w:b w:val="0"/>
                <w:i w:val="0"/>
              </w:rPr>
              <w:br/>
            </w:r>
            <w:r>
              <w:rPr>
                <w:b/>
                <w:i/>
              </w:rPr>
              <w:t>(Đã ký)</w:t>
            </w:r>
            <w:r>
              <w:br/>
            </w:r>
            <w:r>
              <w:br/>
            </w:r>
            <w:r>
              <w:br/>
            </w:r>
            <w:r>
              <w:rPr>
                <w:b/>
                <w:i w:val="0"/>
              </w:rPr>
              <w:br/>
              <w:t xml:space="preserve">         Đỗ Hữu Hào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