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38/2012/QĐ-UBND Về việc ban hành đơn giá thuê nhà, đất thuộc sở hữu nhà nước do công ty trách nhiệm hữu hạn một thành viên quản lý và phát triển nhà hà nội được giao quản lý cho các tổ chức, cá nhân thuê làm cơ sở kinh doanh dịch vụ trên địa bàn Thành phố Hà Nội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38/2012/QĐ-UBND</w:t>
      </w:r>
      <w:r>
        <w:rPr>
          <w:b w:val="0"/>
          <w:i w:val="0"/>
        </w:rPr>
        <w:br/>
      </w:r>
      <w:r>
        <w:rPr>
          <w:b w:val="0"/>
          <w:i w:val="0"/>
        </w:rPr>
        <w:br/>
      </w:r>
      <w:r>
        <w:rPr>
          <w:b w:val="0"/>
          <w:i/>
        </w:rPr>
        <w:br/>
      </w:r>
      <w:r>
        <w:rPr>
          <w:b w:val="0"/>
          <w:i/>
        </w:rPr>
        <w:t>Hà Nội, ngày 14 tháng 12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38/2012/QĐ-UBND</w:t>
      </w:r>
      <w:r>
        <w:rPr>
          <w:b w:val="0"/>
          <w:i w:val="0"/>
        </w:rPr>
        <w:br/>
      </w:r>
      <w:r>
        <w:rPr>
          <w:b w:val="0"/>
          <w:i w:val="0"/>
        </w:rPr>
        <w:br/>
      </w:r>
      <w:r>
        <w:rPr>
          <w:b w:val="0"/>
          <w:i/>
        </w:rPr>
        <w:br/>
      </w:r>
      <w:r>
        <w:rPr>
          <w:b w:val="0"/>
          <w:i/>
        </w:rPr>
        <w:t>Hà Nội, ngày 14 tháng 12 năm 2012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HÀ NỘI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HÀ NỘI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38/2012/QĐ-UBND</w:t>
      </w:r>
      <w:r>
        <w:rPr>
          <w:b w:val="0"/>
          <w:i w:val="0"/>
        </w:rPr>
        <w:br/>
      </w:r>
      <w:r>
        <w:rPr>
          <w:b w:val="0"/>
          <w:i w:val="0"/>
        </w:rPr>
        <w:br/>
      </w:r>
      <w:r>
        <w:rPr>
          <w:b w:val="0"/>
          <w:i/>
        </w:rPr>
        <w:br/>
      </w:r>
      <w:r>
        <w:rPr>
          <w:b w:val="0"/>
          <w:i/>
        </w:rPr>
        <w:t>Hà Nội, ngày 14 tháng 12 năm 2012</w:t>
      </w:r>
      <w:r>
        <w:rPr>
          <w:b w:val="0"/>
          <w:i/>
        </w:rPr>
        <w:br/>
      </w:r>
      <w:r>
        <w:rPr>
          <w:b w:val="0"/>
          <w:i w:val="0"/>
        </w:rPr>
        <w:br/>
      </w:r>
    </w:p>
    <w:p>
      <w:pPr>
        <w:jc w:val="center"/>
      </w:pPr>
      <w:r>
        <w:rPr>
          <w:b w:val="0"/>
          <w:i w:val="0"/>
        </w:rPr>
        <w:br/>
      </w:r>
      <w:r>
        <w:rPr>
          <w:b w:val="0"/>
          <w:i w:val="0"/>
        </w:rPr>
        <w:t>Số: 38/2012/QĐ-UBND</w:t>
      </w:r>
      <w:r>
        <w:rPr>
          <w:b w:val="0"/>
          <w:i w:val="0"/>
        </w:rPr>
        <w:br/>
      </w:r>
    </w:p>
    <w:p>
      <w:pPr>
        <w:jc w:val="center"/>
      </w:pPr>
      <w:r>
        <w:rPr>
          <w:b w:val="0"/>
          <w:i w:val="0"/>
        </w:rPr>
        <w:br/>
      </w:r>
      <w:r>
        <w:rPr>
          <w:b w:val="0"/>
          <w:i w:val="0"/>
        </w:rPr>
        <w:t>Hà Nội, ngày 14 tháng 12 năm 2012</w:t>
      </w:r>
      <w:r>
        <w:rPr>
          <w:b w:val="0"/>
          <w:i w:val="0"/>
        </w:rPr>
        <w:br/>
      </w:r>
    </w:p>
    <w:p>
      <w:r>
        <w:rPr>
          <w:b/>
          <w:i w:val="0"/>
        </w:rPr>
        <w:t>QUYẾT ĐỊNH</w:t>
      </w:r>
      <w:r>
        <w:br/>
      </w:r>
      <w:r>
        <w:rPr>
          <w:b/>
          <w:i w:val="0"/>
        </w:rPr>
        <w:t xml:space="preserve">Về việc ban hành đơn giá thuê nhà, đất thuộc sở hữu nhà nước do công ty trách nhiệm hữu hạn một thành viên </w:t>
      </w:r>
      <w:r>
        <w:rPr>
          <w:b/>
          <w:i w:val="0"/>
        </w:rPr>
        <w:t xml:space="preserve">quản lý và phát triển nhà Hà Nội được giao quản lý cho các tổ chức, cá nhân thuê làm cơ sở kinh doanh dịch vụ </w:t>
      </w:r>
      <w:r>
        <w:rPr>
          <w:b/>
          <w:i w:val="0"/>
        </w:rPr>
        <w:t>trên địa bàn Thành phố Hà Nội</w:t>
      </w:r>
      <w:r>
        <w:br/>
      </w:r>
      <w:r>
        <w:rPr>
          <w:b/>
          <w:i w:val="0"/>
        </w:rPr>
        <w:t>_____________________</w:t>
      </w:r>
    </w:p>
    <w:p>
      <w:r>
        <w:rPr>
          <w:b/>
          <w:i w:val="0"/>
        </w:rPr>
        <w:t>ỦY BAN NHÂN DÂN THÀNH PHỐ HÀ NỘI</w:t>
      </w:r>
    </w:p>
    <w:p>
      <w:r>
        <w:rPr>
          <w:b w:val="0"/>
          <w:i w:val="0"/>
        </w:rPr>
        <w:t>Căn cứ Luật Tổ chức Hội đồng nhân dân và Ủy ban nhân dân ngày 26/11/2003;</w:t>
      </w:r>
    </w:p>
    <w:p>
      <w:r>
        <w:rPr>
          <w:b w:val="0"/>
          <w:i w:val="0"/>
        </w:rPr>
        <w:t>Căn cứ Bộ luật Dân sự năm 2005;</w:t>
      </w:r>
    </w:p>
    <w:p>
      <w:r>
        <w:rPr>
          <w:b w:val="0"/>
          <w:i w:val="0"/>
        </w:rPr>
        <w:t>Căn cứ Luật Nhà ở năm 2005;</w:t>
      </w:r>
    </w:p>
    <w:p>
      <w:r>
        <w:rPr>
          <w:b w:val="0"/>
          <w:i w:val="0"/>
        </w:rPr>
        <w:t>Căn cứ Luật Đất đai năm 2003;</w:t>
      </w:r>
    </w:p>
    <w:p>
      <w:r>
        <w:rPr>
          <w:b w:val="0"/>
          <w:i w:val="0"/>
        </w:rPr>
        <w:t>Căn cứ Luật Xây dựng năm 2003;</w:t>
      </w:r>
    </w:p>
    <w:p>
      <w:r>
        <w:rPr>
          <w:b w:val="0"/>
          <w:i w:val="0"/>
        </w:rPr>
        <w:t>Căn cứ Thông tư Liên tịch số 13/LB-TT ngày 18/8/1994 của liên bộ: Xây dựng-Tài chính-Vật giá Chính phủ về việc hướng dẫn phương pháp xác định giá trị còn lại của nhà ở trong bán nhà ở thuộc sở hữu Nhà nước cho người đang thuê;</w:t>
      </w:r>
    </w:p>
    <w:p>
      <w:r>
        <w:rPr>
          <w:b w:val="0"/>
          <w:i w:val="0"/>
        </w:rPr>
        <w:t>Căn cứ Thông tư số 33/2009/TT-BXD ngày 30/9/2009 của Bộ Xây dựng về việc ban hành Quy chuẩn kỹ thuật quốc gia phân loại, phân cấp công trình xây dựng dân dụng, công nghiệp và hạ tầng kỹ thuật đô thị;</w:t>
      </w:r>
    </w:p>
    <w:p>
      <w:r>
        <w:rPr>
          <w:b w:val="0"/>
          <w:i w:val="0"/>
        </w:rPr>
        <w:t>Căn cứ Thông tư số 203/2009/TT-BTC ngày 20/10/2009 của Bộ Tài chính về việc hướng dẫn chế độ quản lý, sử dụng và trích khấu hao tài sản cố định;</w:t>
      </w:r>
    </w:p>
    <w:p>
      <w:r>
        <w:rPr>
          <w:b w:val="0"/>
          <w:i w:val="0"/>
        </w:rPr>
        <w:t>Xét đề nghị tại Tờ trình số 428/TTrLN: STC-SXD-STN&amp;MT-CT ngày 20/01/2012 của Liên Sở: Tài chính - Xây dựng - Tài nguyên và Môi trường - Cục Thuế Thành phố về việc phê duyệt giá cho thuê nhà chuyên dùng thuộc sở hữu nhà nước do Công ty TNHH một thành viên Quản lý và phát triển nhà Hà Nội quản lý cho các tổ chức, cá nhân thuê làm cơ sở kinh doanh dịch vụ trên địa bàn Thành phố Hà Nội; Công văn 1392/STC-BG ngày 29/3/2012 của Sở Tài chính về bổ sung Tờ trình số 428/TTrLN ngày 20/01/2012 của Liên ngành và thẩm định dự thảo Quyết định; Báo cáo thẩm định số 690/STP-VBPQ ngày 17/4/2012 và số 1411/STP-VBPQ ngày 20/7/2012 của Sở Tư pháp; Tờ trình bổ sung số 5265/TTrLN ngày 29/10/2012 của Liên ngành: Sở Tài chính - Sở Xây dựng - Sở Tài nguyên và Môi trường - Cục thuế về việc phê duyệt bổ sung giá cho thuê đất trong phương án giá thuê nhà, đất thuộc sở hữu nhà nước do Công ty trách nhiệm hữu hạn một thành viên Quản lý và phát triển nhà quản lý; Báo cáo thẩm định số 2627/STP-VBPQ ngày 27/11/2012 của Sở Tư pháp,</w:t>
      </w:r>
    </w:p>
    <w:p>
      <w:pPr>
        <w:jc w:val="center"/>
      </w:pPr>
      <w:r>
        <w:rPr>
          <w:b/>
          <w:i w:val="0"/>
        </w:rPr>
        <w:t>QUYẾT ĐỊNH:</w:t>
      </w:r>
    </w:p>
    <w:p>
      <w:r>
        <w:rPr>
          <w:b/>
          <w:i w:val="0"/>
        </w:rPr>
        <w:t xml:space="preserve">Điều 1. </w:t>
      </w:r>
      <w:r>
        <w:rPr>
          <w:b w:val="0"/>
          <w:i w:val="0"/>
        </w:rPr>
        <w:t>Ban hành quy định giá cho thuê nhà, đất đối với quỹ nhà thuộc sở hữu nhà nước do Công ty trách nhiệm hữu hạn một thành viên Quản lý và phát triển nhà Hà Nội được giao quản lý (không áp dụng đối với nhà xây mới và nhà đã được nhà nước cải tạo, xây dựng lại), cho các tổ chức, cá nhân thuê nhà làm cơ sở kinh doanh dịch vụ như sau:</w:t>
      </w:r>
    </w:p>
    <w:p>
      <w:r>
        <w:rPr>
          <w:b w:val="0"/>
          <w:i w:val="0"/>
        </w:rPr>
        <w:t>1. Đơn giá thuê nhà (không bao gồm thuế sử dụng đất phi nông nghiệp) được xác định và sắp xếp theo nhóm đường, cụ thể:</w:t>
      </w:r>
    </w:p>
    <w:p>
      <w:r>
        <w:rPr>
          <w:b w:val="0"/>
          <w:i/>
        </w:rPr>
        <w:t>Đơn vị tính: Đồng/m2/tháng</w:t>
      </w:r>
      <w:r>
        <w:rPr>
          <w:b w:val="0"/>
          <w:i w:val="0"/>
        </w:rP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Nhóm đường</w:t>
            </w:r>
          </w:p>
        </w:tc>
        <w:tc>
          <w:tcPr>
            <w:tcW w:type="dxa" w:w="2880"/>
          </w:tcPr>
          <w:p>
            <w:r>
              <w:rPr>
                <w:b w:val="0"/>
                <w:i w:val="0"/>
              </w:rPr>
              <w:br/>
            </w:r>
            <w:r>
              <w:rPr>
                <w:b/>
                <w:i w:val="0"/>
              </w:rPr>
              <w:t>Mức Giá đã có thuế GTGT</w:t>
            </w:r>
          </w:p>
        </w:tc>
      </w:tr>
    </w:tbl>
    <w:p>
      <w:r>
        <w:rPr>
          <w:b w:val="0"/>
          <w:i w:val="0"/>
        </w:rPr>
        <w:t>- Việc phân loại nhóm đường để làm căn cứ xác định đơn giá thuê diện tích nhà nước thực hiện theo quy định tại Phụ lục ban hành kèm theo Quyết định này.</w:t>
      </w:r>
    </w:p>
    <w:p>
      <w:r>
        <w:rPr>
          <w:b w:val="0"/>
          <w:i w:val="0"/>
        </w:rPr>
        <w:t>- Mức giá thuê diện tích nhà quy định tại khoản 1 điều này được xác định là hệ số 1.</w:t>
      </w:r>
    </w:p>
    <w:p>
      <w:r>
        <w:rPr>
          <w:b w:val="0"/>
          <w:i w:val="0"/>
        </w:rPr>
        <w:t>- Hệ số điều chỉnh giá thuê nhà:</w:t>
      </w:r>
    </w:p>
    <w:p>
      <w:r>
        <w:rPr>
          <w:b w:val="0"/>
          <w:i w:val="0"/>
        </w:rPr>
        <w:t>+ Hệ số điều chỉnh giá thuê nhà đối với các nhà có vị trí tiếp giáp 2 mặt đường tại ngã ba, ngã tư, đường phố bằng 1,2 lần mức giá cho thuê nhà quy định tại khoản 1 điều này.</w:t>
      </w:r>
    </w:p>
    <w:p>
      <w:r>
        <w:rPr>
          <w:b w:val="0"/>
          <w:i w:val="0"/>
        </w:rPr>
        <w:t>+ Hệ số điều chỉnh tầng cao:</w:t>
      </w:r>
    </w:p>
    <w:p>
      <w:r>
        <w:rPr>
          <w:b w:val="0"/>
          <w:i w:val="0"/>
        </w:rPr>
        <w:t>* Tầng 1 và nhà 1 tầng hệ số 1,2</w:t>
      </w:r>
    </w:p>
    <w:p>
      <w:r>
        <w:rPr>
          <w:b w:val="0"/>
          <w:i w:val="0"/>
        </w:rPr>
        <w:t>* Tầng 2 hệ số 1,1</w:t>
      </w:r>
    </w:p>
    <w:p>
      <w:r>
        <w:rPr>
          <w:b w:val="0"/>
          <w:i w:val="0"/>
        </w:rPr>
        <w:t>* Tầng 3 hệ số 1,0</w:t>
      </w:r>
    </w:p>
    <w:p>
      <w:r>
        <w:rPr>
          <w:b w:val="0"/>
          <w:i w:val="0"/>
        </w:rPr>
        <w:t>* Tầng 4 hệ số 0,9</w:t>
      </w:r>
    </w:p>
    <w:p>
      <w:r>
        <w:rPr>
          <w:b w:val="0"/>
          <w:i w:val="0"/>
        </w:rPr>
        <w:t>* Tầng 5 hệ số 0,8</w:t>
      </w:r>
    </w:p>
    <w:p>
      <w:r>
        <w:rPr>
          <w:b w:val="0"/>
          <w:i w:val="0"/>
        </w:rPr>
        <w:t>2. Đơn giá thuê đất: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Đơn giá thuê đất</w:t>
            </w:r>
          </w:p>
        </w:tc>
        <w:tc>
          <w:tcPr>
            <w:tcW w:type="dxa" w:w="1234"/>
          </w:tcPr>
          <w:p>
            <w:r>
              <w:rPr>
                <w:b w:val="0"/>
                <w:i w:val="0"/>
              </w:rPr>
              <w:br/>
            </w:r>
            <w:r>
              <w:rPr>
                <w:b w:val="0"/>
                <w:i w:val="0"/>
              </w:rPr>
              <w:t>=</w:t>
            </w:r>
          </w:p>
        </w:tc>
        <w:tc>
          <w:tcPr>
            <w:tcW w:type="dxa" w:w="1234"/>
          </w:tcPr>
          <w:p>
            <w:r>
              <w:rPr>
                <w:b w:val="0"/>
                <w:i w:val="0"/>
              </w:rPr>
              <w:br/>
            </w:r>
            <w:r>
              <w:rPr>
                <w:b w:val="0"/>
                <w:i w:val="0"/>
              </w:rPr>
              <w:t>Đơn giá đất SXKD phi NN (do UBND thuê đất Thành phố ban hành hàng năm)</w:t>
            </w:r>
          </w:p>
        </w:tc>
        <w:tc>
          <w:tcPr>
            <w:tcW w:type="dxa" w:w="1234"/>
          </w:tcPr>
          <w:p>
            <w:r>
              <w:rPr>
                <w:b w:val="0"/>
                <w:i w:val="0"/>
              </w:rPr>
              <w:br/>
            </w:r>
            <w:r>
              <w:rPr>
                <w:b w:val="0"/>
                <w:i w:val="0"/>
              </w:rPr>
              <w:t>x</w:t>
            </w:r>
          </w:p>
        </w:tc>
        <w:tc>
          <w:tcPr>
            <w:tcW w:type="dxa" w:w="1234"/>
          </w:tcPr>
          <w:p>
            <w:r>
              <w:rPr>
                <w:b w:val="0"/>
                <w:i w:val="0"/>
              </w:rPr>
              <w:br/>
            </w:r>
            <w:r>
              <w:rPr>
                <w:b w:val="0"/>
                <w:i w:val="0"/>
              </w:rPr>
              <w:t>Hệ số điều chỉnh giá đất (được UBND Thành phố ban hành từng thời điểm)</w:t>
            </w:r>
          </w:p>
        </w:tc>
        <w:tc>
          <w:tcPr>
            <w:tcW w:type="dxa" w:w="1234"/>
          </w:tcPr>
          <w:p>
            <w:r>
              <w:rPr>
                <w:b w:val="0"/>
                <w:i w:val="0"/>
              </w:rPr>
              <w:br/>
            </w:r>
            <w:r>
              <w:rPr>
                <w:b w:val="0"/>
                <w:i w:val="0"/>
              </w:rPr>
              <w:t>x</w:t>
            </w:r>
          </w:p>
        </w:tc>
        <w:tc>
          <w:tcPr>
            <w:tcW w:type="dxa" w:w="1234"/>
          </w:tcPr>
          <w:p>
            <w:r>
              <w:rPr>
                <w:b w:val="0"/>
                <w:i w:val="0"/>
              </w:rPr>
              <w:br/>
            </w:r>
            <w:r>
              <w:rPr>
                <w:b w:val="0"/>
                <w:i w:val="0"/>
              </w:rPr>
              <w:t>2,5%</w:t>
            </w:r>
          </w:p>
        </w:tc>
      </w:tr>
    </w:tbl>
    <w:p>
      <w:r>
        <w:rPr>
          <w:b/>
          <w:i w:val="0"/>
        </w:rPr>
        <w:t xml:space="preserve">Điều 2. </w:t>
      </w:r>
      <w:r>
        <w:rPr>
          <w:b w:val="0"/>
          <w:i w:val="0"/>
        </w:rPr>
        <w:t>Diện tích nhà cho thuê là toàn bộ diện tích sàn xây dựng, bao gồm cả diện tích chính và diện tích phụ; diện tích đất cho thuê là toàn bộ diện tích đất có nhà cho thuê.</w:t>
      </w:r>
    </w:p>
    <w:p>
      <w:r>
        <w:rPr>
          <w:b/>
          <w:i w:val="0"/>
        </w:rPr>
        <w:t>Điều 3.</w:t>
      </w:r>
    </w:p>
    <w:p>
      <w:r>
        <w:rPr>
          <w:b w:val="0"/>
          <w:i w:val="0"/>
        </w:rPr>
        <w:t>1. Các trường hợp đang thuê nhà theo hợp đồng thuê với Công ty trách nhiệm hữu hạn một thành viên Quản lý và phát triển nhà Hà Nội vẫn còn thời hạn thực hiện thì tiếp tục được thực hiện theo giá thuê nhà của hợp đồng. Hết thời hạn thực hiện hợp đồng, nếu tổ chức, cá nhân có nhu cầu tiếp tục thuê nhà, đất quá trình thuê nhà, đất chấp hành đúng các quy định của pháp luật và việc sử dụng nhà, đất đó phù hợp với quy hoạch đã được xét duyệt thì được xem xét ký lại hợp đồng thuê nhà, đất theo giá thuê nhà, đất được xác định lại theo quy định tại Quyết định này.</w:t>
      </w:r>
    </w:p>
    <w:p>
      <w:r>
        <w:rPr>
          <w:b w:val="0"/>
          <w:i w:val="0"/>
        </w:rPr>
        <w:t>2. Đơn giá thuê nhà theo quy định tại khoản 1, điều 1 nêu trên được sử dụng ổn định trong thời gian 3 năm kể từ ngày Quyết định có hiệu lực thi hành. Trường hợp chính sách của nhà nước có thay đổi thì điều chỉnh cho phù hợp.</w:t>
      </w:r>
    </w:p>
    <w:p>
      <w:r>
        <w:rPr>
          <w:b/>
          <w:i w:val="0"/>
        </w:rPr>
        <w:t xml:space="preserve">Điều 4. </w:t>
      </w:r>
      <w:r>
        <w:rPr>
          <w:b w:val="0"/>
          <w:i w:val="0"/>
        </w:rPr>
        <w:t>Các tổ chức, cá nhân sử dụng diện tích nhà, đất thuộc sở hữu Nhà nước do Công ty trách nhiệm hữu hạn một thành viên Quản lý và phát triển nhà Hà Nội quản lý, cho thuê có trách nhiệm thanh toán đúng thời hạn tiền thuê nhà, tiền thuê đất cho Công ty trách nhiệm hữu hạn một thành viên Quản lý và phát triển nhà Hà Nội.</w:t>
      </w:r>
    </w:p>
    <w:p>
      <w:r>
        <w:rPr>
          <w:b w:val="0"/>
          <w:i w:val="0"/>
        </w:rPr>
        <w:t>Đối với các trường hợp tổ chức, cá nhân sử dụng nhà, đất thuộc sở hữu nhà nước do Công ty trách nhiệm hữu hạn một thành viên Quản lý và phát triển nhà Hà Nội quản lý nhưng không ký hợp đồng thuê nhà, đất; chậm thanh toán tiền thuê nhà, đất hoặc thực hiện hành vi cho thuê lại phải chịu xử lý vi phạm về quản lý, sử dụng nhà, đất thuộc sở hữu nhà nước theo các quy định của pháp luật hiện hành.</w:t>
      </w:r>
    </w:p>
    <w:p>
      <w:r>
        <w:rPr>
          <w:b/>
          <w:i w:val="0"/>
        </w:rPr>
        <w:t xml:space="preserve">Điều 5. </w:t>
      </w:r>
      <w:r>
        <w:rPr>
          <w:b w:val="0"/>
          <w:i w:val="0"/>
        </w:rPr>
        <w:t>Công ty trách nhiệm hữu hạn một thành viên Quản lý và phát triển nhà Hà Nội có trách nhiệm ký hợp đồng thuê đất với Sở Tài nguyên và Môi trường theo quy định. Trong thời gian chưa ký được hợp đồng thuê đất, Công ty căn cứ thông báo nộp tiền thuê đất hàng năm của Chi cục Thuế quận, huyện nơi có đất cho thuê để ký hợp đồng thuê nhà, đất với các tổ chức, cá nhân được thuê nhà của nhà nước (Đơn giá thuê đất được xác định theo quy định tại khoản 2, điều 1 nêu trên); chịu trách nhiệm hạch toán, nộp ngân sách tiền thu cho thuê nhà theo hướng dẫn của Sở Tài chính; xây dựng phương án trích, nộp và sử dụng số tiền nhà để lại phục vụ cho việc quản lý quỹ nhà thuộc sở hữu nhà nước gửi Sở Tài chính thẩm định trình Ủy ban nhân dân Thành phố phê duyệt làm căn cứ thực hiện. Công ty có trách nhiệm kê khai, nộp 100% tiền thuê đất vào ngân sách nhà nước theo quy định hiện hành.</w:t>
      </w:r>
    </w:p>
    <w:p>
      <w:r>
        <w:rPr>
          <w:b/>
          <w:i w:val="0"/>
        </w:rPr>
        <w:t xml:space="preserve">Điều 6. </w:t>
      </w:r>
      <w:r>
        <w:rPr>
          <w:b w:val="0"/>
          <w:i w:val="0"/>
        </w:rPr>
        <w:t>Quyết định này có hiệu lực sau 10 ngày kể từ ngày ký và thay thế Quyết định số 26/2008/QĐ-UBND ngày 03/10/2008 của Ủy ban nhân dân Thành phố Hà Nội. Các quy định khác về giá cho thuê nhà, đất thuộc sở hữu nhà nước do Công ty trách nhiệm hữu hạn Quản lý và phát triển nhà Hà Nội quản lý cho các tổ chức, cá nhân thuê làm cơ sở kinh doanh dịch vụ trên địa bàn thành phố Hà Nội trái quy định tại Quyết định này thì thực hiện theo Quyết định này.</w:t>
      </w:r>
    </w:p>
    <w:p>
      <w:r>
        <w:rPr>
          <w:b/>
          <w:i w:val="0"/>
        </w:rPr>
        <w:t xml:space="preserve">Điều 7. </w:t>
      </w:r>
      <w:r>
        <w:rPr>
          <w:b w:val="0"/>
          <w:i w:val="0"/>
        </w:rPr>
        <w:t>Chánh Văn phòng Ủy ban nhân dân Thành phố, Giám đốc các Sở, Ban, Ngành; Tổng Giám đốc Công ty trách nhiệm hữu hạn một thành viên Quản lý và phát triển nhà Hà Nội, Thủ trưởng các tổ chức,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Huy Tưởng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Huy Tưởng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Huy Tưởng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Huy Tưởng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