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38/3000/QÐ-BTC về việc ban hành và công bố áp dụng Hệ thống chuẩn mực kế toán, chuẩn mực kiểm toán Việt Nam</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CỦA BỘ TRƯỞNG BỘ TÀI CHÍNH SỐ 38/2000/QĐ/BTC NGÀY 14 THÁNG 03 NĂM 2000 VỀ VIỆC BAN HÀNH VÀ CÔNG BỐ ÁP DỤNG HỆ THỐNG CHUẨN MỰC KẾ TOÁN, CHUẨN MỰC KIỂM TOÁN VIỆT NAM</w:t>
      </w:r>
    </w:p>
    <w:p>
      <w:pPr>
        <w:jc w:val="center"/>
      </w:pPr>
      <w:r>
        <w:rPr>
          <w:b w:val="0"/>
          <w:i w:val="0"/>
        </w:rPr>
        <w:t>BỘ TRƯỞNG BỘ TÀI CHÍNH</w:t>
      </w:r>
    </w:p>
    <w:p>
      <w:r>
        <w:rPr>
          <w:b w:val="0"/>
          <w:i/>
        </w:rPr>
        <w:t>Căn cứ Pháp lệnh Kế toán và Thống kê ngày 10/05/1988;</w:t>
      </w:r>
    </w:p>
    <w:p>
      <w:r>
        <w:rPr>
          <w:b w:val="0"/>
          <w:i/>
        </w:rPr>
        <w:t>Căn cứ Nghị định số 178/CP ngày 28/10/1994 của Chính phủ về nhiệm vụ, quyền hạn và Tổ chức bộ máy Bộ Tài chính;</w:t>
      </w:r>
    </w:p>
    <w:p>
      <w:r>
        <w:rPr>
          <w:b w:val="0"/>
          <w:i/>
        </w:rPr>
        <w:t>Để thực hiện chủ trương cải cách kinh tế theo cơ chế thị trường và tiến trình hội nhập;</w:t>
      </w:r>
    </w:p>
    <w:p>
      <w:r>
        <w:rPr>
          <w:b w:val="0"/>
          <w:i/>
        </w:rPr>
        <w:t>Theo đề nghị của Vụ trưởng Vụ Chế độ kế toán, Vụ trưởng Vụ Tài chính đối ngoại và Chánh Văn phòng Bộ Tài chính,</w:t>
      </w:r>
    </w:p>
    <w:p>
      <w:pPr>
        <w:jc w:val="center"/>
      </w:pPr>
      <w:r>
        <w:rPr>
          <w:b/>
          <w:i w:val="0"/>
        </w:rPr>
        <w:t>QUYẾT ĐỊNH:</w:t>
      </w:r>
    </w:p>
    <w:p>
      <w:pPr>
        <w:jc w:val="both"/>
      </w:pPr>
      <w:r>
        <w:rPr>
          <w:b/>
          <w:i w:val="0"/>
        </w:rPr>
        <w:t>Điều 1:</w:t>
      </w:r>
      <w:r>
        <w:rPr>
          <w:b w:val="0"/>
          <w:i w:val="0"/>
        </w:rPr>
        <w:t xml:space="preserve"> Ban hành và công bố các chuẩn mực kế toán, chuẩn mực kiểm toán Việt Nam áp dụng cho các doanh nghiệp hoạt động sản xuất, kinh doanh và các công ty kiểm toán hoạt động tại Việt Nam. Hệ thống chuẩn mực kế toán, chuẩn mực kiểm toán Việt Nam phải được xây dựng theo các nguyên tắc:</w:t>
      </w:r>
    </w:p>
    <w:p>
      <w:pPr>
        <w:jc w:val="both"/>
      </w:pPr>
      <w:r>
        <w:rPr>
          <w:b w:val="0"/>
          <w:i w:val="0"/>
        </w:rPr>
        <w:t>- Dựa trên cơ sở các chuẩn mực quốc tế về kế toán, chuẩn mực quốc tế về kiểm toán do Liên đoàn kế toán quốc tế (IFAC) công bố;</w:t>
      </w:r>
    </w:p>
    <w:p>
      <w:pPr>
        <w:jc w:val="both"/>
      </w:pPr>
      <w:r>
        <w:rPr>
          <w:b w:val="0"/>
          <w:i w:val="0"/>
        </w:rPr>
        <w:t>- Phù hợp với điều kiện phát triển của nền kinh tế thị trường Việt Nam, phù hợp với hệ thống luật pháp, trình độ, kinh nghiệm kế toán, kiểm toán của Việt Nam;</w:t>
      </w:r>
    </w:p>
    <w:p>
      <w:pPr>
        <w:jc w:val="both"/>
      </w:pPr>
      <w:r>
        <w:rPr>
          <w:b w:val="0"/>
          <w:i w:val="0"/>
        </w:rPr>
        <w:t>- Chuẩn mực kế toán, chuẩn mực kiểm toán Việt Nam phải đơn giản, rõ ràng và tuân thủ các qui định về thể thức ban hành văn bản pháp luật Việt Nam.</w:t>
      </w:r>
    </w:p>
    <w:p>
      <w:pPr>
        <w:jc w:val="both"/>
      </w:pPr>
      <w:r>
        <w:rPr>
          <w:b/>
          <w:i w:val="0"/>
        </w:rPr>
        <w:t xml:space="preserve">Điều 2: </w:t>
      </w:r>
      <w:r>
        <w:rPr>
          <w:b w:val="0"/>
          <w:i w:val="0"/>
        </w:rPr>
        <w:t>Ban chỉ đạo nghiên cứu, soạn thảo chuẩn mực kế toán Việt Nam được thành lập theo Quyết định số 1503/1998/QĐ-BTC ngày 30/10/1998 và Ban chỉ đạo nghiên cứu, soạn thảo chuẩn mực kiểm toán Việt Nam được thành lập theo Quyết định số 19/1999/QĐ-BTC ngày 12/02/1999 của Bộ Trưởng Bộ Tài chính, khẩn trương thực hiện nhiệm vụ được giao theo kế hoạch để đảm bảo việc ban hành và công bố các chuẩn mực kế toán, chuẩn mực kiểm toán Việt Nam được hoàn tất vào năm 2003.</w:t>
      </w:r>
    </w:p>
    <w:p>
      <w:pPr>
        <w:jc w:val="both"/>
      </w:pPr>
      <w:r>
        <w:rPr>
          <w:b/>
          <w:i w:val="0"/>
        </w:rPr>
        <w:t>Điều 3:</w:t>
      </w:r>
      <w:r>
        <w:rPr>
          <w:b w:val="0"/>
          <w:i w:val="0"/>
        </w:rPr>
        <w:t xml:space="preserve"> Vụ chế độ kế toán là đơn vị thường trực của các Ban chỉ đạo và các Tổ soạn thảo chuẩn mực, có nhiệm vụ tổ chức triển khai việc soạn thảo, tiếp thu ý kiến và hoàn chỉnh trình Bộ ký ban hành. Các đơn vị: Tổng cục Thuế, Vụ Ngân sách Nhà nước, Vụ Chính sách Tài chính, Cục Tài chính doanh nghiệp, Vụ Đầu tư, Kho Bạc Nhà nước, Trường Đại học Tài chính-Kế toán Hà Nội và các đơn vị trực thuộc Bộ có liên quan, có trách nhiệm cử cán bộ trực tiếp tham gia các Ban chỉ đạo và các Tổ soạn thảo; phối hợp, cung cấp số liệu, thông tin và tạo điều kiện để các Ban chỉ đạo, các Tổ soạn thảo hoàn thành tốt nhiệm vụ được giao.</w:t>
      </w:r>
    </w:p>
    <w:p>
      <w:pPr>
        <w:jc w:val="both"/>
      </w:pPr>
      <w:r>
        <w:rPr>
          <w:b/>
          <w:i w:val="0"/>
        </w:rPr>
        <w:t>Điều 4:</w:t>
      </w:r>
      <w:r>
        <w:rPr>
          <w:b w:val="0"/>
          <w:i w:val="0"/>
        </w:rPr>
        <w:t xml:space="preserve"> Quyết định này có hiệu lực thi hành từ ngày ký. Trưởng Ban chỉ đạo nghiên cứu, soạn thảo chuẩn mực kế toán, Trưởng Ban chỉ đạo nghiên cứu soạn thảo chuẩn mực kiểm toán Việt Nam, Vụ trưởng Vụ Chế độ kế toán, Thủ trưởng các đơn vị thuộc và trực thuộc Bộ chịu trách nhiệm thi hành Quyết định này.</w:t>
      </w:r>
    </w:p>
    <w:p>
      <w:r>
        <w:rPr>
          <w:b/>
          <w:i w:val="0"/>
        </w:rPr>
        <w:t xml:space="preserve">                                                                                                                                                                                    Trần Văn Tá</w:t>
      </w:r>
    </w:p>
    <w:p>
      <w:r>
        <w:rPr>
          <w:b w:val="0"/>
          <w:i w:val="0"/>
        </w:rPr>
        <w:t xml:space="preserve">                                                                                                                                                                                      (Đã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