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3953-TC/TCDN Công văn về việc xử lý các khoản rủi ro sau khi phát mại tài sản thế chấp vay vốn ngân hàng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