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396/1997/QĐ-NHNN1 về việc ban hành Quy chế dự trữ bắt buộc đối với các ngân hàng, tổ chức tín dụng</w:t>
      </w:r>
    </w:p>
    <w:p>
      <w:r>
        <w:rPr>
          <w:b w:val="0"/>
          <w:i w:val="0"/>
        </w:rPr>
        <w:br/>
      </w:r>
      <w:r>
        <w:rPr>
          <w:b w:val="0"/>
          <w:i w:val="0"/>
        </w:rPr>
        <w:br/>
      </w:r>
      <w:r>
        <w:rPr>
          <w:b w:val="0"/>
          <w:i w:val="0"/>
        </w:rPr>
        <w:br/>
      </w:r>
      <w:r>
        <w:rPr>
          <w:b w:val="0"/>
          <w:i w:val="0"/>
        </w:rPr>
        <w:br/>
      </w:r>
      <w:r>
        <w:rPr>
          <w:b w:val="0"/>
          <w:i w:val="0"/>
        </w:rPr>
        <w:br/>
      </w:r>
      <w:r>
        <w:rPr>
          <w:b/>
          <w:i w:val="0"/>
        </w:rPr>
        <w:t>NGÂN HÀNG NHÀ NƯỚC</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396/1997/QĐ-NHNN1</w:t>
      </w:r>
      <w:r>
        <w:rPr>
          <w:b w:val="0"/>
          <w:i w:val="0"/>
        </w:rPr>
        <w:br/>
      </w:r>
      <w:r>
        <w:rPr>
          <w:b w:val="0"/>
          <w:i w:val="0"/>
        </w:rPr>
        <w:br/>
      </w:r>
      <w:r>
        <w:rPr>
          <w:b w:val="0"/>
          <w:i/>
        </w:rPr>
        <w:t>Hà Nội, ngày 01 tháng 12 năm 1997</w:t>
      </w:r>
      <w:r>
        <w:rPr>
          <w:b w:val="0"/>
          <w:i w:val="0"/>
        </w:rPr>
        <w:br/>
      </w:r>
      <w:r>
        <w:rPr>
          <w:b w:val="0"/>
          <w:i w:val="0"/>
        </w:rPr>
        <w:br/>
      </w:r>
      <w:r>
        <w:rPr>
          <w:b w:val="0"/>
          <w:i w:val="0"/>
        </w:rPr>
        <w:br/>
      </w:r>
      <w:r>
        <w:rPr>
          <w:b w:val="0"/>
          <w:i w:val="0"/>
        </w:rPr>
        <w:br/>
      </w:r>
      <w:r>
        <w:rPr>
          <w:b/>
          <w:i w:val="0"/>
        </w:rPr>
        <w:t xml:space="preserve"> </w:t>
      </w:r>
      <w:r>
        <w:rPr>
          <w:b/>
          <w:i w:val="0"/>
        </w:rPr>
        <w:t>QUYẾT ĐỊNH</w:t>
      </w:r>
      <w:r>
        <w:rPr>
          <w:b w:val="0"/>
          <w:i w:val="0"/>
        </w:rPr>
        <w:br/>
      </w:r>
      <w:r>
        <w:rPr>
          <w:b/>
          <w:i w:val="0"/>
        </w:rPr>
        <w:t>Về việc ban hành “Quy chế dự trữ bắt buộc đối với các ngân hàng, tổ chức</w:t>
      </w:r>
      <w:r>
        <w:rPr>
          <w:b w:val="0"/>
          <w:i w:val="0"/>
        </w:rPr>
        <w:br/>
      </w:r>
      <w:r>
        <w:rPr>
          <w:b/>
          <w:i w:val="0"/>
        </w:rPr>
        <w:t xml:space="preserve"> tín dụng”</w:t>
      </w:r>
      <w:r>
        <w:rPr>
          <w:b w:val="0"/>
          <w:i w:val="0"/>
        </w:rPr>
        <w:br/>
      </w:r>
      <w:r>
        <w:rPr>
          <w:b/>
          <w:i w:val="0"/>
        </w:rPr>
        <w:t>THỐNG ĐỐC NGÂN HÀNG NHÀ NƯỚC</w:t>
      </w:r>
      <w:r>
        <w:rPr>
          <w:b w:val="0"/>
          <w:i w:val="0"/>
        </w:rPr>
        <w:br/>
      </w:r>
      <w:r>
        <w:rPr>
          <w:b w:val="0"/>
          <w:i/>
        </w:rPr>
        <w:t>Căn cứ Luật tổ chức Chính phủ ngày 30-09-1992;</w:t>
      </w:r>
      <w:r>
        <w:rPr>
          <w:b w:val="0"/>
          <w:i w:val="0"/>
        </w:rPr>
        <w:br/>
      </w:r>
      <w:r>
        <w:rPr>
          <w:b w:val="0"/>
          <w:i/>
        </w:rPr>
        <w:t>Căn cứ Pháp lệnh Ngân hàng Nhà nước và Pháp lệnh Ngân hàng, Hợp tác xã tín dụng và Công ty tài chính công bố theo lệnh số 37/LCT-HĐNN8 và lệnh số 38/LCT-HĐNN8 ngày 24 tháng 5 năm 1990 của Chủ tịch Hội đồng Nhà nước Cộng hoà xã hội chủ nghĩa Việt Nam;</w:t>
      </w:r>
      <w:r>
        <w:rPr>
          <w:b w:val="0"/>
          <w:i w:val="0"/>
        </w:rPr>
        <w:br/>
      </w:r>
      <w:r>
        <w:rPr>
          <w:b w:val="0"/>
          <w:i/>
        </w:rPr>
        <w:t>Căn cứ Nghị định số 15/CP ngày 2 tháng 3 năm 1993 của Chính phủ về nhiệm vụ, quyền hạn và trách nhiệm quản lý Nhà nước của Bộ, cơ quan ngang Bộ;</w:t>
      </w:r>
      <w:r>
        <w:rPr>
          <w:b w:val="0"/>
          <w:i w:val="0"/>
        </w:rPr>
        <w:br/>
      </w:r>
      <w:r>
        <w:rPr>
          <w:b w:val="0"/>
          <w:i/>
        </w:rPr>
        <w:t>Theo đề nghị của Vụ trưởng Vụ Nghiên cứu kinh tế</w:t>
      </w:r>
      <w:r>
        <w:rPr>
          <w:b w:val="0"/>
          <w:i w:val="0"/>
        </w:rPr>
        <w:t>,</w:t>
      </w:r>
      <w:r>
        <w:rPr>
          <w:b w:val="0"/>
          <w:i w:val="0"/>
        </w:rPr>
        <w:br/>
      </w:r>
      <w:r>
        <w:rPr>
          <w:b/>
          <w:i w:val="0"/>
        </w:rPr>
        <w:t>QUYẾT ĐỊNH</w:t>
      </w:r>
      <w:r>
        <w:rPr>
          <w:b w:val="0"/>
          <w:i w:val="0"/>
        </w:rPr>
        <w:br/>
      </w:r>
      <w:r>
        <w:rPr>
          <w:b/>
          <w:i w:val="0"/>
        </w:rPr>
        <w:t>Điều 1.</w:t>
      </w:r>
      <w:r>
        <w:rPr>
          <w:b w:val="0"/>
          <w:i w:val="0"/>
        </w:rPr>
        <w:t xml:space="preserve"> Ban hành kèm theo quyết định này "Quy chế dự trữ bắt buộc đối với các Ngân hàng, tổ chức tín dụng".</w:t>
      </w:r>
      <w:r>
        <w:rPr>
          <w:b w:val="0"/>
          <w:i w:val="0"/>
        </w:rPr>
        <w:br/>
      </w:r>
      <w:r>
        <w:rPr>
          <w:b/>
          <w:i w:val="0"/>
        </w:rPr>
        <w:t>Điều 2.</w:t>
      </w:r>
      <w:r>
        <w:rPr>
          <w:b w:val="0"/>
          <w:i w:val="0"/>
        </w:rPr>
        <w:t xml:space="preserve"> Quyết định này thay thế quyết định số 260/QĐ-NH1 ngày 19-9-1995 của Thống đốc Ngân hàng Nhà nước và có hiệu lực thi hành từ 1-1-1998. Các quy định trước đây trái với Quyết định này hết hiệu lực thi hành.</w:t>
      </w:r>
      <w:r>
        <w:rPr>
          <w:b w:val="0"/>
          <w:i w:val="0"/>
        </w:rPr>
        <w:br/>
      </w:r>
      <w:r>
        <w:rPr>
          <w:b/>
          <w:i w:val="0"/>
        </w:rPr>
        <w:t>Điều 3.</w:t>
      </w:r>
      <w:r>
        <w:rPr>
          <w:b w:val="0"/>
          <w:i w:val="0"/>
        </w:rPr>
        <w:t xml:space="preserve"> Chánh Văn phòng Thống đốc, Chánh thanh tra, Thủ trưởng các đơn vị thuộc Ngân hàng Nhà nước Trung ương, Giám đốc Chi nhánh Ngân hàng Nhà nước Tỉnh, Thành phố, Tổng giám đốc (Giám đốc) các Ngân hàng, tổ chức tín dụng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 THỐNG ĐỐC</w:t>
      </w:r>
      <w:r>
        <w:rPr>
          <w:b/>
          <w:i w:val="0"/>
        </w:rPr>
        <w:t xml:space="preserve"> </w:t>
      </w:r>
      <w:r>
        <w:br/>
      </w:r>
      <w:r>
        <w:rPr>
          <w:b/>
          <w:i w:val="0"/>
        </w:rPr>
        <w:t>PHÓ THỐNG ĐỐC</w:t>
      </w:r>
      <w:r>
        <w:rPr>
          <w:b w:val="0"/>
          <w:i w:val="0"/>
        </w:rPr>
        <w:br/>
      </w:r>
      <w:r>
        <w:rPr>
          <w:b w:val="0"/>
          <w:i w:val="0"/>
        </w:rPr>
        <w:t>(Đã ký)</w:t>
      </w:r>
      <w:r>
        <w:rPr>
          <w:b w:val="0"/>
          <w:i w:val="0"/>
        </w:rPr>
        <w:br/>
      </w:r>
      <w:r>
        <w:rPr>
          <w:b/>
          <w:i w:val="0"/>
        </w:rPr>
        <w:t>Lê Đức Thuý</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THỐNG ĐỐC</w:t>
            </w:r>
            <w:r>
              <w:rPr>
                <w:b/>
                <w:i w:val="0"/>
              </w:rPr>
              <w:t xml:space="preserve"> </w:t>
            </w:r>
            <w:r>
              <w:br/>
            </w:r>
            <w:r>
              <w:rPr>
                <w:b/>
                <w:i w:val="0"/>
              </w:rPr>
              <w:t>PHÓ THỐNG ĐỐC</w:t>
            </w:r>
            <w:r>
              <w:rPr>
                <w:b w:val="0"/>
                <w:i w:val="0"/>
              </w:rPr>
              <w:br/>
            </w:r>
            <w:r>
              <w:rPr>
                <w:b w:val="0"/>
                <w:i w:val="0"/>
              </w:rPr>
              <w:t>(Đã ký)</w:t>
            </w:r>
            <w:r>
              <w:rPr>
                <w:b w:val="0"/>
                <w:i w:val="0"/>
              </w:rPr>
              <w:br/>
            </w:r>
            <w:r>
              <w:rPr>
                <w:b/>
                <w:i w:val="0"/>
              </w:rPr>
              <w:t>Lê Đức Thuý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