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399/QĐ-BCN1 Đính chính quy chế bảo quản và huỷ bỏ giếng khoan dầu khí ban hành kèm theo Quyết định số 37/2005/QĐ-BCN ngày 25 tháng 11 năm 2005 của Bộ trưởng Bộ Công nghiệp</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399/QĐ-BCN</w:t>
        <w:br/>
        <w:t xml:space="preserve">     </w:t>
      </w:r>
      <w:r>
        <w:rPr>
          <w:b w:val="0"/>
          <w:i w:val="0"/>
        </w:rPr>
        <w:br/>
      </w:r>
      <w:r>
        <w:rPr>
          <w:b w:val="0"/>
          <w:i/>
        </w:rPr>
        <w:br/>
        <w:t xml:space="preserve">      Hà Nội, ngày 24 tháng 02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399/QĐ-BCN</w:t>
        <w:br/>
        <w:t xml:space="preserve">     </w:t>
      </w:r>
      <w:r>
        <w:rPr>
          <w:b w:val="0"/>
          <w:i w:val="0"/>
        </w:rPr>
        <w:br/>
      </w:r>
      <w:r>
        <w:rPr>
          <w:b w:val="0"/>
          <w:i/>
        </w:rPr>
        <w:br/>
        <w:t xml:space="preserve">      Hà Nội, ngày 24 tháng 02 năm 2006</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399/QĐ-BCN</w:t>
        <w:br/>
        <w:t xml:space="preserve">     </w:t>
      </w:r>
      <w:r>
        <w:rPr>
          <w:b w:val="0"/>
          <w:i w:val="0"/>
        </w:rPr>
        <w:br/>
      </w:r>
      <w:r>
        <w:rPr>
          <w:b w:val="0"/>
          <w:i/>
        </w:rPr>
        <w:br/>
        <w:t xml:space="preserve">      Hà Nội, ngày 24 tháng 02 năm 2006</w:t>
        <w:br/>
        <w:t xml:space="preserve">     </w:t>
      </w:r>
      <w:r>
        <w:rPr>
          <w:b w:val="0"/>
          <w:i w:val="0"/>
        </w:rPr>
        <w:br/>
      </w:r>
    </w:p>
    <w:p>
      <w:pPr>
        <w:jc w:val="center"/>
      </w:pPr>
      <w:r>
        <w:rPr>
          <w:b w:val="0"/>
          <w:i w:val="0"/>
        </w:rPr>
        <w:br/>
        <w:t xml:space="preserve">      Số: 399/QĐ-BCN</w:t>
        <w:br/>
        <w:t xml:space="preserve">     </w:t>
      </w:r>
    </w:p>
    <w:p>
      <w:pPr>
        <w:jc w:val="center"/>
      </w:pPr>
      <w:r>
        <w:rPr>
          <w:b w:val="0"/>
          <w:i w:val="0"/>
        </w:rPr>
        <w:br/>
        <w:t xml:space="preserve">      Hà Nội, ngày 24 tháng 02 năm 2006</w:t>
        <w:br/>
        <w:t xml:space="preserve">     </w:t>
      </w:r>
    </w:p>
    <w:p>
      <w:r>
        <w:rPr>
          <w:b/>
          <w:i w:val="0"/>
        </w:rPr>
        <w:t xml:space="preserve">QUYẾT ĐỊNH </w:t>
      </w:r>
    </w:p>
    <w:p>
      <w:r>
        <w:rPr>
          <w:b/>
          <w:i w:val="0"/>
        </w:rPr>
        <w:t>Đính chính quy chế bảo quản và huỷ bỏ giếng khoan dầu khí ban hành kèm theo Quyết định số 37/2005/QĐ-BCN ngày 25 tháng 11 năm 2005 của Bộ trưởng Bộ Công nghiệp</w:t>
      </w:r>
    </w:p>
    <w:p>
      <w:r>
        <w:rPr>
          <w:b/>
          <w:i w:val="0"/>
        </w:rPr>
        <w:t>___________________________</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r>
        <w:br/>
      </w:r>
      <w:r>
        <w:rPr>
          <w:b w:val="0"/>
          <w:i/>
        </w:rPr>
        <w:br/>
        <w:t xml:space="preserve">     Căn cứ Luật Ban hành văn bản quy phạm pháp luật ngày 12 tháng 11 năm 1996; Luật sửa đổi, bổ sung một số điều của Luật Ban hành văn bản quy phạm pháp luật ngày 16 tháng 12 năm 2002;</w:t>
      </w:r>
      <w:r>
        <w:br/>
      </w:r>
      <w:r>
        <w:rPr>
          <w:b w:val="0"/>
          <w:i/>
        </w:rPr>
        <w:br/>
        <w:t xml:space="preserve">     Căn cứ Nghị định số 104/2004/NĐ-CP ngày 23 tháng 3 năm 2004 của Chính phủ về Công báo nước Cộng hoà xã hội chủ nghĩa Việt Nam;</w:t>
      </w:r>
      <w:r>
        <w:br/>
      </w:r>
      <w:r>
        <w:rPr>
          <w:b w:val="0"/>
          <w:i/>
        </w:rPr>
        <w:br/>
        <w:t xml:space="preserve">     Theo đề nghị của Vụ trưởng Vụ Năng lượng và Dầu khí, </w:t>
      </w:r>
    </w:p>
    <w:p>
      <w:r>
        <w:rPr>
          <w:b/>
          <w:i w:val="0"/>
        </w:rPr>
        <w:t>QUYẾT ĐỊNH:</w:t>
      </w:r>
    </w:p>
    <w:p>
      <w:r>
        <w:rPr>
          <w:b/>
          <w:i w:val="0"/>
        </w:rPr>
        <w:t xml:space="preserve">Điều 1. </w:t>
      </w:r>
      <w:r>
        <w:rPr>
          <w:b w:val="0"/>
          <w:i w:val="0"/>
        </w:rPr>
        <w:t>Đính chính Quyết định số 37/2005/QĐ-BCN ngày 25 tháng 11 năm 2005 của Bộ trưởng Bộ Công nghiệp về việc ban hành Quy chế Bảo quản và Huỷ bỏ giếng khoan dầu khí đã đăng Công báo số 15+16 ngày 14 tháng 12 năm 2005.</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Điều khoản</w:t>
            </w:r>
          </w:p>
        </w:tc>
        <w:tc>
          <w:tcPr>
            <w:tcW w:type="dxa" w:w="2880"/>
          </w:tcPr>
          <w:p>
            <w:r>
              <w:rPr>
                <w:b w:val="0"/>
                <w:i w:val="0"/>
              </w:rPr>
              <w:br/>
            </w:r>
            <w:r>
              <w:rPr>
                <w:b/>
                <w:i w:val="0"/>
              </w:rPr>
              <w:t>Đã in</w:t>
            </w:r>
          </w:p>
        </w:tc>
        <w:tc>
          <w:tcPr>
            <w:tcW w:type="dxa" w:w="2880"/>
          </w:tcPr>
          <w:p>
            <w:r>
              <w:rPr>
                <w:b w:val="0"/>
                <w:i w:val="0"/>
              </w:rPr>
              <w:br/>
            </w:r>
            <w:r>
              <w:rPr>
                <w:b/>
                <w:i w:val="0"/>
              </w:rPr>
              <w:t>Đính chính</w:t>
            </w:r>
          </w:p>
        </w:tc>
      </w:tr>
    </w:tbl>
    <w:p>
      <w:r>
        <w:rPr>
          <w:b/>
          <w:i w:val="0"/>
        </w:rPr>
        <w:t xml:space="preserve">Điều 2. </w:t>
      </w:r>
      <w:r>
        <w:rPr>
          <w:b w:val="0"/>
          <w:i w:val="0"/>
        </w:rPr>
        <w:t>Quyết định này có hiệu lực thi hành kể từ ngày ký.</w:t>
      </w:r>
    </w:p>
    <w:p>
      <w:r>
        <w:rPr>
          <w:b w:val="0"/>
          <w:i w:val="0"/>
        </w:rPr>
        <w:t>Chánh Văn phòng Bộ, Chánh Thanh tra Bộ, các Vụ trưởng, Cục trưởng thuộc Bộ, Giám đốc Sở Công nghiệp các tỉnh, thành phố trực thuộc Trung ương, Tổng Giám đốc Tổng Công ty Dầu khí Việt Nam và Thủ trưởng các đơn vị có liên quan chịu trách nhiệm thi hành Quyết định này./.</w:t>
      </w:r>
    </w:p>
    <w:p>
      <w:r>
        <w:rPr>
          <w:b w:val="0"/>
          <w:i w:val="0"/>
        </w:rPr>
        <w:br/>
      </w:r>
      <w:r>
        <w:rPr>
          <w:b w:val="0"/>
          <w:i w:val="0"/>
        </w:rPr>
        <w:br/>
      </w:r>
      <w:r>
        <w:rPr>
          <w:b/>
          <w:i w:val="0"/>
        </w:rPr>
        <w:br/>
      </w:r>
      <w:r>
        <w:rPr>
          <w:b/>
          <w:i w:val="0"/>
        </w:rPr>
        <w:br/>
      </w:r>
      <w:r>
        <w:rPr>
          <w:b/>
          <w:i w:val="0"/>
        </w:rPr>
        <w:t>KT. BỘ TRƯỞNG BỘ CÔNG NGHIỆP</w:t>
      </w:r>
      <w:r>
        <w:br/>
      </w:r>
      <w:r>
        <w:rPr>
          <w:b/>
          <w:i w:val="0"/>
        </w:rPr>
        <w:t>THỨ TRƯỞNG</w:t>
      </w:r>
      <w:r>
        <w:rPr>
          <w:b/>
          <w:i w:val="0"/>
        </w:rPr>
        <w:br/>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r>
        <w:rPr>
          <w:b w:val="0"/>
          <w:i w:val="0"/>
        </w:rPr>
        <w:br/>
      </w:r>
    </w:p>
    <w:p>
      <w:r>
        <w:rPr>
          <w:b w:val="0"/>
          <w:i w:val="0"/>
        </w:rPr>
        <w:br/>
      </w:r>
      <w:r>
        <w:rPr>
          <w:b/>
          <w:i w:val="0"/>
        </w:rPr>
        <w:br/>
      </w:r>
      <w:r>
        <w:rPr>
          <w:b/>
          <w:i w:val="0"/>
        </w:rPr>
        <w:br/>
      </w:r>
      <w:r>
        <w:rPr>
          <w:b/>
          <w:i w:val="0"/>
        </w:rPr>
        <w:t>KT. BỘ TRƯỞNG BỘ CÔNG NGHIỆP</w:t>
      </w:r>
      <w:r>
        <w:br/>
      </w:r>
      <w:r>
        <w:rPr>
          <w:b/>
          <w:i w:val="0"/>
        </w:rPr>
        <w:t>THỨ TRƯỞNG</w:t>
      </w:r>
      <w:r>
        <w:rPr>
          <w:b/>
          <w:i w:val="0"/>
        </w:rPr>
        <w:br/>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p>
    <w:p>
      <w:pPr>
        <w:jc w:val="center"/>
      </w:pPr>
      <w:r>
        <w:rPr>
          <w:b w:val="0"/>
          <w:i w:val="0"/>
        </w:rPr>
        <w:br/>
      </w:r>
      <w:r>
        <w:rPr>
          <w:b/>
          <w:i w:val="0"/>
        </w:rPr>
        <w:br/>
      </w:r>
      <w:r>
        <w:rPr>
          <w:b/>
          <w:i w:val="0"/>
        </w:rPr>
        <w:t>KT. BỘ TRƯỞNG BỘ CÔNG NGHIỆP</w:t>
      </w:r>
      <w:r>
        <w:br/>
      </w:r>
      <w:r>
        <w:rPr>
          <w:b/>
          <w:i w:val="0"/>
        </w:rPr>
        <w:t>THỨ TRƯỞNG</w:t>
      </w:r>
      <w:r>
        <w:rPr>
          <w:b/>
          <w:i w:val="0"/>
        </w:rPr>
        <w:br/>
      </w:r>
      <w:r>
        <w:rPr>
          <w:b w:val="0"/>
          <w:i w:val="0"/>
        </w:rPr>
        <w:br/>
      </w:r>
      <w:r>
        <w:rPr>
          <w:b/>
          <w:i/>
        </w:rPr>
        <w:br/>
        <w:t xml:space="preserve">      (Đã ký)</w:t>
        <w:br/>
        <w:t xml:space="preserve">     </w:t>
      </w:r>
      <w:r>
        <w:rPr>
          <w:b w:val="0"/>
          <w:i w:val="0"/>
        </w:rPr>
        <w:br/>
      </w:r>
      <w:r>
        <w:rPr>
          <w:b/>
          <w:i w:val="0"/>
        </w:rPr>
        <w:br/>
        <w:t xml:space="preserve">      Nguyễn Xuân Thuý</w:t>
        <w:br/>
        <w:t xml:space="preserve">     </w:t>
      </w:r>
      <w:r>
        <w:rPr>
          <w:b w:val="0"/>
          <w:i w:val="0"/>
        </w:rPr>
        <w:br/>
      </w:r>
    </w:p>
    <w:p>
      <w:r>
        <w:rPr>
          <w:b w:val="0"/>
          <w:i w:val="0"/>
        </w:rPr>
        <w:br/>
      </w:r>
      <w:r>
        <w:rPr>
          <w:b/>
          <w:i w:val="0"/>
        </w:rPr>
        <w:t>KT. BỘ TRƯỞNG BỘ CÔNG NGHIỆP</w:t>
      </w:r>
      <w:r>
        <w:br/>
      </w:r>
      <w:r>
        <w:rPr>
          <w:b/>
          <w:i w:val="0"/>
        </w:rPr>
        <w:t>THỨ TRƯỞNG</w:t>
      </w:r>
      <w:r>
        <w:rPr>
          <w:b w:val="0"/>
          <w:i w:val="0"/>
        </w:rPr>
        <w:br/>
      </w:r>
    </w:p>
    <w:p>
      <w:r>
        <w:rPr>
          <w:b w:val="0"/>
          <w:i w:val="0"/>
        </w:rPr>
        <w:br/>
        <w:t xml:space="preserve">      (Đã ký)</w:t>
        <w:br/>
        <w:t xml:space="preserve">     </w:t>
      </w:r>
    </w:p>
    <w:p>
      <w:r>
        <w:rPr>
          <w:b w:val="0"/>
          <w:i w:val="0"/>
        </w:rPr>
        <w:br/>
        <w:t xml:space="preserve">      Nguyễn Xuân Thuý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