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39/2006/QĐ-TTg Về việc phê duyệt Đề án sắp xếp, đổi mới nông trường quốc doanh trực thuộc Tổng công ty Cao su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39/2006/QĐ-TTg</w:t>
        <w:br/>
        <w:t xml:space="preserve">     </w:t>
      </w:r>
      <w:r>
        <w:rPr>
          <w:b w:val="0"/>
          <w:i w:val="0"/>
        </w:rPr>
        <w:br/>
      </w:r>
      <w:r>
        <w:rPr>
          <w:b w:val="0"/>
          <w:i/>
        </w:rPr>
        <w:br/>
        <w:t xml:space="preserve">      Ngày 15 tháng 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39/2006/QĐ-TTg</w:t>
        <w:br/>
        <w:t xml:space="preserve">     </w:t>
      </w:r>
      <w:r>
        <w:rPr>
          <w:b w:val="0"/>
          <w:i w:val="0"/>
        </w:rPr>
        <w:br/>
      </w:r>
      <w:r>
        <w:rPr>
          <w:b w:val="0"/>
          <w:i/>
        </w:rPr>
        <w:br/>
        <w:t xml:space="preserve">      Ngày 15 tháng 2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39/2006/QĐ-TTg</w:t>
        <w:br/>
        <w:t xml:space="preserve">     </w:t>
      </w:r>
      <w:r>
        <w:rPr>
          <w:b w:val="0"/>
          <w:i w:val="0"/>
        </w:rPr>
        <w:br/>
      </w:r>
      <w:r>
        <w:rPr>
          <w:b w:val="0"/>
          <w:i/>
        </w:rPr>
        <w:br/>
        <w:t xml:space="preserve">      Ngày 15 tháng 2 năm 2006</w:t>
        <w:br/>
        <w:t xml:space="preserve">     </w:t>
      </w:r>
      <w:r>
        <w:rPr>
          <w:b w:val="0"/>
          <w:i w:val="0"/>
        </w:rPr>
        <w:br/>
      </w:r>
    </w:p>
    <w:p>
      <w:pPr>
        <w:jc w:val="center"/>
      </w:pPr>
      <w:r>
        <w:rPr>
          <w:b w:val="0"/>
          <w:i w:val="0"/>
        </w:rPr>
        <w:br/>
        <w:t xml:space="preserve">      Số: 39/2006/QĐ-TTg</w:t>
        <w:br/>
        <w:t xml:space="preserve">     </w:t>
      </w:r>
    </w:p>
    <w:p>
      <w:pPr>
        <w:jc w:val="center"/>
      </w:pPr>
      <w:r>
        <w:rPr>
          <w:b w:val="0"/>
          <w:i w:val="0"/>
        </w:rPr>
        <w:br/>
        <w:t xml:space="preserve">      Ngày 15 tháng 2 năm 2006</w:t>
        <w:br/>
        <w:t xml:space="preserve">     </w:t>
      </w:r>
    </w:p>
    <w:p>
      <w:r>
        <w:rPr>
          <w:b/>
          <w:i w:val="0"/>
        </w:rPr>
        <w:t>QUYẾT ĐỊNH</w:t>
      </w:r>
    </w:p>
    <w:p>
      <w:r>
        <w:rPr>
          <w:b/>
          <w:i w:val="0"/>
        </w:rPr>
        <w:t xml:space="preserve">Về việc phê duyệt Đề án sắp xếp, đổi mới nông trường quốc doanh trực thuộc Tổng công ty Cao su Việt Nam </w:t>
      </w:r>
    </w:p>
    <w:p>
      <w:r>
        <w:rPr>
          <w:b/>
          <w:i w:val="0"/>
        </w:rPr>
        <w:t>_________________________________</w:t>
      </w:r>
    </w:p>
    <w:p>
      <w:r>
        <w:rPr>
          <w:b/>
          <w:i w:val="0"/>
        </w:rPr>
        <w:t>THỦ TƯỚNG CHÍNH PHỦ</w:t>
      </w:r>
    </w:p>
    <w:p>
      <w:pPr>
        <w:jc w:val="both"/>
      </w:pPr>
      <w:r>
        <w:rPr>
          <w:b w:val="0"/>
          <w:i w:val="0"/>
        </w:rPr>
        <w:t>Căn cứ Luật Tổ chức Chính phủ ngày 25 tháng 12 năm 2001;</w:t>
      </w:r>
    </w:p>
    <w:p>
      <w:pPr>
        <w:jc w:val="both"/>
      </w:pPr>
      <w:r>
        <w:rPr>
          <w:b w:val="0"/>
          <w:i w:val="0"/>
        </w:rPr>
        <w:t>Căn cứ Nghị định số 170/2004/NĐ-CP ngày 22 tháng 9 năm 2004 của Chính phủ về sắp xếp, đổi mới và phát triển nông trường quốc doanh;</w:t>
      </w:r>
    </w:p>
    <w:p>
      <w:pPr>
        <w:jc w:val="both"/>
      </w:pPr>
      <w:r>
        <w:rPr>
          <w:b w:val="0"/>
          <w:i w:val="0"/>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pPr>
        <w:jc w:val="both"/>
      </w:pPr>
      <w:r>
        <w:rPr>
          <w:b w:val="0"/>
          <w:i w:val="0"/>
        </w:rPr>
        <w:t>Xét đề nghị của Bộ trưởng Bộ Nông nghiệp và Phát triển nông thôn,</w:t>
      </w:r>
    </w:p>
    <w:p>
      <w:r>
        <w:rPr>
          <w:b/>
          <w:i w:val="0"/>
        </w:rPr>
        <w:t>QUYẾT ĐỊNH:</w:t>
      </w:r>
    </w:p>
    <w:p>
      <w:r>
        <w:rPr>
          <w:b/>
          <w:i w:val="0"/>
        </w:rPr>
        <w:t xml:space="preserve">Điều 1. </w:t>
      </w:r>
      <w:r>
        <w:rPr>
          <w:b w:val="0"/>
          <w:i w:val="0"/>
        </w:rPr>
        <w:t>Phê duyệt Đề án sắp xếp, đổi mới các nông trường quốc doanh trực thuộc Tổng công ty Cao su Việt Nam như sau:</w:t>
      </w:r>
    </w:p>
    <w:p>
      <w:r>
        <w:rPr>
          <w:b w:val="0"/>
          <w:i w:val="0"/>
        </w:rPr>
        <w:t>1. Tiếp tục củng cố và giữ nguyên 113 nông trường trực thuộc 19 công ty cao su sau đây:</w:t>
      </w:r>
    </w:p>
    <w:p>
      <w:r>
        <w:rPr>
          <w:b w:val="0"/>
          <w:i w:val="0"/>
        </w:rPr>
        <w:t>- Công ty Cao su Đồng Nai</w:t>
      </w:r>
    </w:p>
    <w:p>
      <w:r>
        <w:rPr>
          <w:b w:val="0"/>
          <w:i w:val="0"/>
        </w:rPr>
        <w:t>- Công ty Cao su Bình Long</w:t>
      </w:r>
    </w:p>
    <w:p>
      <w:r>
        <w:rPr>
          <w:b w:val="0"/>
          <w:i w:val="0"/>
        </w:rPr>
        <w:t>- Công ty Cao su Phú Riềng</w:t>
      </w:r>
    </w:p>
    <w:p>
      <w:r>
        <w:rPr>
          <w:b w:val="0"/>
          <w:i w:val="0"/>
        </w:rPr>
        <w:t>- Công ty Cao su Lộc Ninh</w:t>
      </w:r>
    </w:p>
    <w:p>
      <w:r>
        <w:rPr>
          <w:b w:val="0"/>
          <w:i w:val="0"/>
        </w:rPr>
        <w:t>- Công ty Cao su Phước Hòa</w:t>
      </w:r>
    </w:p>
    <w:p>
      <w:r>
        <w:rPr>
          <w:b w:val="0"/>
          <w:i w:val="0"/>
        </w:rPr>
        <w:t>- Công ty Cao su Dầu Tiếng</w:t>
      </w:r>
    </w:p>
    <w:p>
      <w:r>
        <w:rPr>
          <w:b w:val="0"/>
          <w:i w:val="0"/>
        </w:rPr>
        <w:t>- Công ty Cao su Bà Rịa</w:t>
      </w:r>
    </w:p>
    <w:p>
      <w:r>
        <w:rPr>
          <w:b w:val="0"/>
          <w:i w:val="0"/>
        </w:rPr>
        <w:t>- Công ty Cao su Tân Biên</w:t>
      </w:r>
    </w:p>
    <w:p>
      <w:r>
        <w:rPr>
          <w:b w:val="0"/>
          <w:i w:val="0"/>
        </w:rPr>
        <w:t>- Công ty Cao su Bình Thuận</w:t>
      </w:r>
    </w:p>
    <w:p>
      <w:r>
        <w:rPr>
          <w:b w:val="0"/>
          <w:i w:val="0"/>
        </w:rPr>
        <w:t>- Công ty Cao su Eah' Leo</w:t>
      </w:r>
    </w:p>
    <w:p>
      <w:r>
        <w:rPr>
          <w:b w:val="0"/>
          <w:i w:val="0"/>
        </w:rPr>
        <w:t>- Công ty Cao su Chư Sê</w:t>
      </w:r>
    </w:p>
    <w:p>
      <w:r>
        <w:rPr>
          <w:b w:val="0"/>
          <w:i w:val="0"/>
        </w:rPr>
        <w:t>- Công ty Cao su Chư Prông</w:t>
      </w:r>
    </w:p>
    <w:p>
      <w:r>
        <w:rPr>
          <w:b w:val="0"/>
          <w:i w:val="0"/>
        </w:rPr>
        <w:t>- Công ty Cao su Chư Pảh</w:t>
      </w:r>
    </w:p>
    <w:p>
      <w:r>
        <w:rPr>
          <w:b w:val="0"/>
          <w:i w:val="0"/>
        </w:rPr>
        <w:t>- Công ty Cao su Mang Yang</w:t>
      </w:r>
    </w:p>
    <w:p>
      <w:r>
        <w:rPr>
          <w:b w:val="0"/>
          <w:i w:val="0"/>
        </w:rPr>
        <w:t>- Công ty Cao su Kon Tum</w:t>
      </w:r>
    </w:p>
    <w:p>
      <w:r>
        <w:rPr>
          <w:b w:val="0"/>
          <w:i w:val="0"/>
        </w:rPr>
        <w:t>- Công ty Cao su Quảng Trị</w:t>
      </w:r>
    </w:p>
    <w:p>
      <w:r>
        <w:rPr>
          <w:b w:val="0"/>
          <w:i w:val="0"/>
        </w:rPr>
        <w:t>- Công ty Cao su Quảng Nam</w:t>
      </w:r>
    </w:p>
    <w:p>
      <w:r>
        <w:rPr>
          <w:b w:val="0"/>
          <w:i w:val="0"/>
        </w:rPr>
        <w:t>- Công ty Cao su Hà Tĩnh</w:t>
      </w:r>
    </w:p>
    <w:p>
      <w:r>
        <w:rPr>
          <w:b w:val="0"/>
          <w:i w:val="0"/>
        </w:rPr>
        <w:t>- Công ty Cao su Thanh Hoá</w:t>
      </w:r>
    </w:p>
    <w:p>
      <w:r>
        <w:rPr>
          <w:b w:val="0"/>
          <w:i w:val="0"/>
        </w:rPr>
        <w:t>2. Thí điểm cổ phần hoá Công ty Cao su Đồng Phú và Công ty trách nhiệm hữu hạn một thành viên Cao su Tây Ninh, trong đó Nhà nước giữ cổ phần chi phối (cổ phần hóa cơ sở chế biến gắn với vườn cây cao su).</w:t>
      </w:r>
    </w:p>
    <w:p>
      <w:r>
        <w:rPr>
          <w:b/>
          <w:i w:val="0"/>
        </w:rPr>
        <w:t xml:space="preserve">Điều 2. </w:t>
      </w:r>
      <w:r>
        <w:rPr>
          <w:b w:val="0"/>
          <w:i w:val="0"/>
        </w:rPr>
        <w:t>Bộ trưởng Bộ Nông nghiệp và Phát triển nông thôn:</w:t>
      </w:r>
    </w:p>
    <w:p>
      <w:r>
        <w:rPr>
          <w:b w:val="0"/>
          <w:i w:val="0"/>
        </w:rPr>
        <w:t>1. Chỉ đạo thực hiện việc sắp xếp, đổi mới nông trường quốc doanh như quy định tại Điều 1 của Quyết định này.</w:t>
      </w:r>
    </w:p>
    <w:p>
      <w:r>
        <w:rPr>
          <w:b w:val="0"/>
          <w:i w:val="0"/>
        </w:rPr>
        <w:t>2. Quyết định điều chỉnh lại diện tích, ranh giới các loại đất giao cho các nông trường phù hợp với quy hoạch của địa phương, cũng như quy hoạch phát triển của từng nông trường như đề nghị của Bộ Nông nghiệp và Phát triển nông thôn tại tờ trình số 2809/BNN-ĐMDN ngày 28 tháng 10 năm 2005.</w:t>
      </w:r>
    </w:p>
    <w:p>
      <w:r>
        <w:rPr>
          <w:b/>
          <w:i w:val="0"/>
        </w:rPr>
        <w:t xml:space="preserve">Điều 3. </w:t>
      </w:r>
      <w:r>
        <w:rPr>
          <w:b w:val="0"/>
          <w:i w:val="0"/>
        </w:rPr>
        <w:t>Các Bộ: Tài chính, Kế hoạch và Đầu tư, Nội vụ, Lao động - Thương binh và Xã hội và các cơ quan liên quan có trách nhiệm phối hợp với Bộ Nông nghiệp và Phát triển nông thôn và Tổng công ty Cao su Việt Nam trong việc thực hiện Đề án này.</w:t>
      </w:r>
    </w:p>
    <w:p>
      <w:r>
        <w:rPr>
          <w:b w:val="0"/>
          <w:i w:val="0"/>
        </w:rPr>
        <w:t>Ban Chỉ đạo Đổi mới và Phát triển doanh nghiệp chịu trách nhiệm chỉ đạo, đôn đốc, hướng dẫn và theo dõi việc thực hiện Đề án này, đồng thời kiến nghị với</w:t>
      </w:r>
    </w:p>
    <w:p>
      <w:r>
        <w:rPr>
          <w:b/>
          <w:i w:val="0"/>
        </w:rPr>
        <w:t xml:space="preserve">Điều 4. </w:t>
      </w:r>
      <w:r>
        <w:rPr>
          <w:b w:val="0"/>
          <w:i w:val="0"/>
        </w:rPr>
        <w:t>Quyết định này có hiệu lực sau 15 ngày, kể từ ngày đăng Công báo.</w:t>
      </w:r>
    </w:p>
    <w:p>
      <w:r>
        <w:rPr>
          <w:b w:val="0"/>
          <w:i w:val="0"/>
        </w:rPr>
        <w:t>Bộ trưởng Bộ Nông nghiệp và Phát triển nông thôn, Hội đồng quản trị Tổng công ty Cao su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