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39/TTLB Quy định tạm thời cơ chế hoạt động tài chính của Công ty Dầu khí quốc gia Việt Nam</w:t>
      </w:r>
    </w:p>
    <w:p>
      <w:r>
        <w:rPr>
          <w:b w:val="0"/>
          <w:i w:val="0"/>
        </w:rPr>
        <w:br/>
      </w:r>
      <w:r>
        <w:rPr>
          <w:b w:val="0"/>
          <w:i w:val="0"/>
        </w:rPr>
        <w:br/>
      </w:r>
      <w:r>
        <w:rPr>
          <w:b w:val="0"/>
          <w:i w:val="0"/>
        </w:rPr>
        <w:br/>
      </w:r>
      <w:r>
        <w:rPr>
          <w:b w:val="0"/>
          <w:i w:val="0"/>
        </w:rPr>
        <w:br/>
      </w:r>
      <w:r>
        <w:rPr>
          <w:b w:val="0"/>
          <w:i w:val="0"/>
        </w:rPr>
        <w:br/>
      </w:r>
      <w:r>
        <w:rPr>
          <w:b/>
          <w:i w:val="0"/>
        </w:rPr>
        <w:t>BỘ TÀI CHÍNH, TỔNG CỤC DẦU KHÍ</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39/TTLB</w:t>
      </w:r>
      <w:r>
        <w:rPr>
          <w:b w:val="0"/>
          <w:i w:val="0"/>
        </w:rPr>
        <w:br/>
      </w:r>
      <w:r>
        <w:rPr>
          <w:b w:val="0"/>
          <w:i w:val="0"/>
        </w:rPr>
        <w:br/>
      </w:r>
      <w:r>
        <w:rPr>
          <w:b w:val="0"/>
          <w:i/>
        </w:rPr>
        <w:t>Hà Nội, ngày 11 tháng 10 năm 1989</w:t>
      </w:r>
      <w:r>
        <w:rPr>
          <w:b w:val="0"/>
          <w:i w:val="0"/>
        </w:rPr>
        <w:br/>
      </w:r>
      <w:r>
        <w:rPr>
          <w:b w:val="0"/>
          <w:i w:val="0"/>
        </w:rPr>
        <w:br/>
      </w:r>
      <w:r>
        <w:rPr>
          <w:b w:val="0"/>
          <w:i w:val="0"/>
        </w:rPr>
        <w:br/>
      </w:r>
      <w:r>
        <w:rPr>
          <w:b w:val="0"/>
          <w:i w:val="0"/>
        </w:rPr>
        <w:br/>
      </w:r>
      <w:r>
        <w:rPr>
          <w:b/>
          <w:i w:val="0"/>
        </w:rPr>
        <w:t>THÔNG TƯ LIÊN BỘ</w:t>
      </w:r>
      <w:r>
        <w:rPr>
          <w:b w:val="0"/>
          <w:i w:val="0"/>
        </w:rPr>
        <w:br/>
      </w:r>
      <w:r>
        <w:rPr>
          <w:b/>
          <w:i w:val="0"/>
        </w:rPr>
        <w:t>Quy định tạm thời cơ chế hoạt động tài chính của Công ty Dầu khí quốc gia Việt Nam</w:t>
      </w:r>
      <w:r>
        <w:rPr>
          <w:b w:val="0"/>
          <w:i w:val="0"/>
        </w:rPr>
        <w:br/>
      </w:r>
      <w:r>
        <w:rPr>
          <w:b w:val="0"/>
          <w:i w:val="0"/>
        </w:rPr>
        <w:t>Thực hiện Nghị quyết số 15 NQ - TW ngày 7/7/1988 của Bộ Chính trị Trung ương Đảng (khoá VI) về phương hướng phát triển ngành Dầu khí đến năm 2000;</w:t>
      </w:r>
      <w:r>
        <w:rPr>
          <w:b w:val="0"/>
          <w:i w:val="0"/>
        </w:rPr>
        <w:br/>
      </w:r>
      <w:r>
        <w:rPr>
          <w:b w:val="0"/>
          <w:i w:val="0"/>
        </w:rPr>
        <w:t>Để đảm bảo hoạt động về mặt tài chính của Công ty Dầu khí Quốc gia Việt nam (gọi tắt là PETROVIETNAM) nhằm đáp ứng đầy đủ nhiệm vụ của Công ty trong các hợp đồng tìm kiềm, thăm dò và khai thác dầu khí với các Công ty dầu khí nước ngoài; Bộ Tài chính và Tổng cục Dầu khí quy định tạm thời cơ chế về hoạt động tài chính của PETROVIETNAM như sau :</w:t>
      </w:r>
      <w:r>
        <w:rPr>
          <w:b w:val="0"/>
          <w:i w:val="0"/>
        </w:rPr>
        <w:br/>
      </w:r>
      <w:r>
        <w:rPr>
          <w:b/>
          <w:i w:val="0"/>
        </w:rPr>
        <w:t xml:space="preserve">I. </w:t>
      </w:r>
      <w:r>
        <w:rPr>
          <w:b w:val="0"/>
          <w:i w:val="0"/>
        </w:rPr>
        <w:t>NHỮNG QUY ĐỊNH CHUNG :</w:t>
      </w:r>
      <w:r>
        <w:rPr>
          <w:b w:val="0"/>
          <w:i w:val="0"/>
        </w:rPr>
        <w:br/>
      </w:r>
      <w:r>
        <w:rPr>
          <w:b w:val="0"/>
          <w:i w:val="0"/>
        </w:rPr>
        <w:t>1.1. Trong giai đoạn chỉ làm nhiệm vụ tổ chức thực hiện kiểm tra, giám sát và phối hợp triển khai các hoạt động dầu khí của các Công ty dầu khí nước ngoài tại Việt nam, PETROVIETNAM hoạt động tài chính theo cơ chế của một đơn vị sự nghiệp kinh tế gán thu bù chi trên cơ sở dự toán chi được duyệt.</w:t>
      </w:r>
      <w:r>
        <w:rPr>
          <w:b w:val="0"/>
          <w:i w:val="0"/>
        </w:rPr>
        <w:br/>
      </w:r>
      <w:r>
        <w:rPr>
          <w:b w:val="0"/>
          <w:i w:val="0"/>
        </w:rPr>
        <w:t>Nguồn kinh phí hoạt động của PETROVIETNAM ở giai đoạn này là vốn sự nghiệp cấp từ ngân sách Nhà nước và các khoản thu từ dịch vụ nhỏ hoặc đầu mối dịch vụ cho các Công ty dầu khí nước ngoài.</w:t>
      </w:r>
      <w:r>
        <w:rPr>
          <w:b w:val="0"/>
          <w:i w:val="0"/>
        </w:rPr>
        <w:br/>
      </w:r>
      <w:r>
        <w:rPr>
          <w:b w:val="0"/>
          <w:i w:val="0"/>
        </w:rPr>
        <w:t>Toàn bộ chi phí của PETROVIETNAM ở giai đoạn này sẽ được hạch vào giá thành dầu khí và nộp hoàn vốn vào ngân sách Nhà nước khi PETROVIETNAM chuyển sang giai đoạn sản xuất, kinh doanh dầu khí.</w:t>
      </w:r>
      <w:r>
        <w:rPr>
          <w:b w:val="0"/>
          <w:i w:val="0"/>
        </w:rPr>
        <w:br/>
      </w:r>
      <w:r>
        <w:rPr>
          <w:b w:val="0"/>
          <w:i w:val="0"/>
        </w:rPr>
        <w:t>1.2. Khi chuyển sang giai đoạn sản xuất, kinh doanh dầu khí (bao gồm những nhiệm vụ của giai đoạn đầu, tìm kiếm thăm dò, khai thác và kinh doanh dầu khí), thì toàn bộ hoạt động tài chính của PETROVIETNAM được thực hiện theo chế độ của một đơn vị sản xuất, kinh doanh, hạch toán kinh tế đầy đủ theo điều lệ xí nghiệp công nghiệp quốc doanh hoặc điều lệ liên hiệp xí nghiệp quốc doanh, Liên bộ sẽ hướng dẫn cụ thể sau, không áp dụng những quy định tạm thời tại Thông tư này.</w:t>
      </w:r>
      <w:r>
        <w:rPr>
          <w:b w:val="0"/>
          <w:i w:val="0"/>
        </w:rPr>
        <w:br/>
      </w:r>
      <w:r>
        <w:rPr>
          <w:b w:val="0"/>
          <w:i w:val="0"/>
        </w:rPr>
        <w:t>II. NHỮNG QUY ĐỊNH TẠM THỜI VỀ HOẠT ĐỘNG TÀI CHÍNH ĐỐI VỚI PETROVIETNAM TRONG GIAI ĐOẠN KIỂM TRA, GIÁM SÁT HOẠT ĐỘNG CỦA CÁC CÔNG TY DẦU KHÍ NƯỚC NGOÀI THEO HỢP ĐỒNG ĐÃ KÝ KẾT.</w:t>
      </w:r>
      <w:r>
        <w:rPr>
          <w:b w:val="0"/>
          <w:i w:val="0"/>
        </w:rPr>
        <w:br/>
      </w:r>
      <w:r>
        <w:rPr>
          <w:b w:val="0"/>
          <w:i w:val="0"/>
        </w:rPr>
        <w:t>2.1. PETROVIETNAM có trách nhiệm :</w:t>
      </w:r>
      <w:r>
        <w:rPr>
          <w:b w:val="0"/>
          <w:i w:val="0"/>
        </w:rPr>
        <w:br/>
      </w:r>
      <w:r>
        <w:rPr>
          <w:b w:val="0"/>
          <w:i w:val="0"/>
        </w:rPr>
        <w:t>2.1a) Xây dựng và bảo vệ kế hoạch tài chính với Tổng cục dầu khí và Bộ Tài chính hàng năm. Kế hoạch tài chính bao gồm các biểu bắt buộc sau đây :</w:t>
      </w:r>
      <w:r>
        <w:rPr>
          <w:b w:val="0"/>
          <w:i w:val="0"/>
        </w:rPr>
        <w:br/>
      </w:r>
      <w:r>
        <w:rPr>
          <w:b w:val="0"/>
          <w:i w:val="0"/>
        </w:rPr>
        <w:t>+ Bảng tổng hợp kế hoạch thu chi tài chính cả năm (có chia theo từng quý) chi tiết theo tiền ngoại tệ và tiền đồng Việt nam.</w:t>
      </w:r>
      <w:r>
        <w:rPr>
          <w:b w:val="0"/>
          <w:i w:val="0"/>
        </w:rPr>
        <w:br/>
      </w:r>
      <w:r>
        <w:rPr>
          <w:b w:val="0"/>
          <w:i w:val="0"/>
        </w:rPr>
        <w:t>+ Biểu kế hoạch thu ngoại tệ và đồng Việt nam theo từng nguồn thu.</w:t>
      </w:r>
      <w:r>
        <w:rPr>
          <w:b w:val="0"/>
          <w:i w:val="0"/>
        </w:rPr>
        <w:br/>
      </w:r>
      <w:r>
        <w:rPr>
          <w:b w:val="0"/>
          <w:i w:val="0"/>
        </w:rPr>
        <w:t>+ biểu kế hoạch phân phối sử dụng các nguồn thu về ngoại tệ và đồng Việt nam theo những quy định phân phối trong thông tư này.</w:t>
      </w:r>
      <w:r>
        <w:rPr>
          <w:b w:val="0"/>
          <w:i w:val="0"/>
        </w:rPr>
        <w:br/>
      </w:r>
      <w:r>
        <w:rPr>
          <w:b w:val="0"/>
          <w:i w:val="0"/>
        </w:rPr>
        <w:t>+ Dự toán chi phí theo từng danh mục, khối lượng công việc bằng ngoại tệ và bằng đồng Việt nam.</w:t>
      </w:r>
      <w:r>
        <w:rPr>
          <w:b w:val="0"/>
          <w:i w:val="0"/>
        </w:rPr>
        <w:br/>
      </w:r>
      <w:r>
        <w:rPr>
          <w:b w:val="0"/>
          <w:i w:val="0"/>
        </w:rPr>
        <w:t>2.1b) Phân phối, sử dụng và quản lý toàn bộ các nguồn vốn tài chính đối với các chi nhánh PETROVIETNAM .</w:t>
      </w:r>
      <w:r>
        <w:rPr>
          <w:b w:val="0"/>
          <w:i w:val="0"/>
        </w:rPr>
        <w:br/>
      </w:r>
      <w:r>
        <w:rPr>
          <w:b w:val="0"/>
          <w:i w:val="0"/>
        </w:rPr>
        <w:t>Thực hiện tập trung và kịp thời nhiệm vụ thu nộp ngoại tệ đối với ngân sách Nhà nước trên cơ sở chịu trách nhiệm đôn đốc các Công ty nước ngoài nộp đúng, đủ theo thời hạn của Nhà nước.</w:t>
      </w:r>
      <w:r>
        <w:rPr>
          <w:b w:val="0"/>
          <w:i w:val="0"/>
        </w:rPr>
        <w:br/>
      </w:r>
      <w:r>
        <w:rPr>
          <w:b w:val="0"/>
          <w:i w:val="0"/>
        </w:rPr>
        <w:t>2.2/ Các nguồn thu của PETROVIETNAM được quy định phân phối sử dụng như sau :</w:t>
      </w:r>
      <w:r>
        <w:rPr>
          <w:b w:val="0"/>
          <w:i w:val="0"/>
        </w:rPr>
        <w:br/>
      </w:r>
      <w:r>
        <w:rPr>
          <w:b w:val="0"/>
          <w:i w:val="0"/>
        </w:rPr>
        <w:t>2.2.1/ Tiền hoa hồng của các Công ty dầu khí nước ngoài nộp ngân sách Nhà nước 100%.</w:t>
      </w:r>
      <w:r>
        <w:rPr>
          <w:b w:val="0"/>
          <w:i w:val="0"/>
        </w:rPr>
        <w:br/>
      </w:r>
      <w:r>
        <w:rPr>
          <w:b w:val="0"/>
          <w:i w:val="0"/>
        </w:rPr>
        <w:t>2.2.2/ Trong khi chưa ban hành chế độ thuế thu nhập, tạm thời quy định thu thống nhất 40% tiền lương bằng ngoại tệ của người Việt nam làm việc tại các Công ty dầu khí nước ngoài, nộp vào ngân sách Nhà nước . Số còn lại (60%) là nguồn chi trả trực tiếp cho người lao động và chi phí dịch vụ của Công ty, theo các phương thức cụ thể phù hợp với các hợp đồng giữa PETROVIETNAM với các Công ty nước ngoài và với người lao động Việt nam. Các phương thức cụ thể do PETROVIETNAM trình Tổng cục dầu khí duyệt.</w:t>
      </w:r>
      <w:r>
        <w:rPr>
          <w:b w:val="0"/>
          <w:i w:val="0"/>
        </w:rPr>
        <w:br/>
      </w:r>
      <w:r>
        <w:rPr>
          <w:b w:val="0"/>
          <w:i w:val="0"/>
        </w:rPr>
        <w:t>2.2.3/ Tiền ngoại tệ thu được về dịch vụ cung cấp và xử lý tài liệu cho các Công ty nước ngoài nộp ngân sách Nhà nước 30%, 70% còn lại PETROVIETNAM được để lại quản lý sử dụng theo dự toán chi được Tổng cục Dầu khí duyệt.</w:t>
      </w:r>
      <w:r>
        <w:rPr>
          <w:b w:val="0"/>
          <w:i w:val="0"/>
        </w:rPr>
        <w:br/>
      </w:r>
      <w:r>
        <w:rPr>
          <w:b w:val="0"/>
          <w:i w:val="0"/>
        </w:rPr>
        <w:t>2.2.4/ Đối với các khoản thu dịch vụ nhỏ trực tiếp hoặc đầu mối dịch vụ cho các đơn vị khác, PETROVIETNAM nộp ngân sách Nhà nước 10%, 90% được để lại quản lý sử dụng như sau :</w:t>
      </w:r>
      <w:r>
        <w:rPr>
          <w:b w:val="0"/>
          <w:i w:val="0"/>
        </w:rPr>
        <w:br/>
      </w:r>
      <w:r>
        <w:rPr>
          <w:b w:val="0"/>
          <w:i w:val="0"/>
        </w:rPr>
        <w:t>- 60% số tiền được để lại đưa vào dân đối sử dụng cho dự toán chi được duyệt.</w:t>
      </w:r>
      <w:r>
        <w:rPr>
          <w:b w:val="0"/>
          <w:i w:val="0"/>
        </w:rPr>
        <w:br/>
      </w:r>
      <w:r>
        <w:rPr>
          <w:b w:val="0"/>
          <w:i w:val="0"/>
        </w:rPr>
        <w:t>- 40% còn lại trích lập hai quỹ khen thưởng và phúc lợi theo chế độ của một đơn vị sự nghiệp có thu.</w:t>
      </w:r>
      <w:r>
        <w:rPr>
          <w:b w:val="0"/>
          <w:i w:val="0"/>
        </w:rPr>
        <w:br/>
      </w:r>
      <w:r>
        <w:rPr>
          <w:b w:val="0"/>
          <w:i w:val="0"/>
        </w:rPr>
        <w:t>2.2.5/ Đối với các khoản thu gián tiếp khác (do các Công ty nước ngoài trực tiếp chi theo hợp đồng cung cấp các phương tiện, thiết bị, dụng cụ làm việc, đào tạo cán bộ), Công ty phải đưa vào kế hoạc tài chính hàng năm và báo cáo Tổng cục Dầu khí và Bộ Tài chính để làm thủ tục ghi thu ngân sách Nhà nước , ghi chi cho Công ty theo từng khối lượng công việc chi được thực hiện.</w:t>
      </w:r>
      <w:r>
        <w:rPr>
          <w:b w:val="0"/>
          <w:i w:val="0"/>
        </w:rPr>
        <w:br/>
      </w:r>
      <w:r>
        <w:rPr>
          <w:b w:val="0"/>
          <w:i w:val="0"/>
        </w:rPr>
        <w:t>2.2.6/ Tiền thu về chi phí đào tạo về nguyên tắc được dùng cho nhu cầu chi về đào tạo, bồi dưỡng nghiệp vụ đối với cán bộ ngành dầu khí theo dự toán chi hàng năm, trong thể thức quản lý, nguồn thu này nộp vào ngân sách Nhà nước , hàng năm PETROVIETNAM phải có kế hoạch chi do Tổng cục Dầu khí duyệt nhu cầu chi đó bàn thống nhất với Bộ Tài chính trên cơ sở đó xác định số tiền để lại cần thiết bằng ngoại tệ, hoặc bằng tiền đồng Việt nam.</w:t>
      </w:r>
      <w:r>
        <w:rPr>
          <w:b w:val="0"/>
          <w:i w:val="0"/>
        </w:rPr>
        <w:br/>
      </w:r>
      <w:r>
        <w:rPr>
          <w:b w:val="0"/>
          <w:i w:val="0"/>
        </w:rPr>
        <w:t>2.2.7/ Lãi tiền gửi ngân hàng được để lại 100% để cân đối sử dụng theo dự toán chi hàng năm được duyệt.</w:t>
      </w:r>
      <w:r>
        <w:rPr>
          <w:b w:val="0"/>
          <w:i w:val="0"/>
        </w:rPr>
        <w:br/>
      </w:r>
      <w:r>
        <w:rPr>
          <w:b w:val="0"/>
          <w:i w:val="0"/>
        </w:rPr>
        <w:t>2.3/ Nội dung chi theo dự toán của PETROVIETNAM bao gồm :</w:t>
      </w:r>
      <w:r>
        <w:rPr>
          <w:b w:val="0"/>
          <w:i w:val="0"/>
        </w:rPr>
        <w:br/>
      </w:r>
      <w:r>
        <w:rPr>
          <w:b w:val="0"/>
          <w:i w:val="0"/>
        </w:rPr>
        <w:t>- Chi cho bộ mày điều hành của Công ty và chi nhánh.</w:t>
      </w:r>
      <w:r>
        <w:rPr>
          <w:b w:val="0"/>
          <w:i w:val="0"/>
        </w:rPr>
        <w:br/>
      </w:r>
      <w:r>
        <w:rPr>
          <w:b w:val="0"/>
          <w:i w:val="0"/>
        </w:rPr>
        <w:t>- Chi cho công tác đàm phán, chào hàng, ký kết các hợp đồng với các Công ty dầu khí nước ngoài.</w:t>
      </w:r>
      <w:r>
        <w:rPr>
          <w:b w:val="0"/>
          <w:i w:val="0"/>
        </w:rPr>
        <w:br/>
      </w:r>
      <w:r>
        <w:rPr>
          <w:b w:val="0"/>
          <w:i w:val="0"/>
        </w:rPr>
        <w:t>- Chi cho công tác kiểm tra, giám sát hoạt động dầu khí của các Công ty dầu khí nước ngoài.</w:t>
      </w:r>
      <w:r>
        <w:rPr>
          <w:b w:val="0"/>
          <w:i w:val="0"/>
        </w:rPr>
        <w:br/>
      </w:r>
      <w:r>
        <w:rPr>
          <w:b w:val="0"/>
          <w:i w:val="0"/>
        </w:rPr>
        <w:t>Chi cho thu thập, bảo quản, xử lý và cung cấp tài liệu cho các công ty dầu khí nước ngoài.</w:t>
      </w:r>
      <w:r>
        <w:rPr>
          <w:b w:val="0"/>
          <w:i w:val="0"/>
        </w:rPr>
        <w:br/>
      </w:r>
      <w:r>
        <w:rPr>
          <w:b w:val="0"/>
          <w:i w:val="0"/>
        </w:rPr>
        <w:t>- Chi cho công tác đào tạo, khảo sát, bồi dưỡng, nâng cao trình độ nghiệp vụ chuyên môn, ngoại ngữ, trong và ngoài nước cho cán bộ.</w:t>
      </w:r>
      <w:r>
        <w:rPr>
          <w:b w:val="0"/>
          <w:i w:val="0"/>
        </w:rPr>
        <w:br/>
      </w:r>
      <w:r>
        <w:rPr>
          <w:b w:val="0"/>
          <w:i w:val="0"/>
        </w:rPr>
        <w:t>- Chi phí về các công tác dịch vụ.</w:t>
      </w:r>
      <w:r>
        <w:rPr>
          <w:b w:val="0"/>
          <w:i w:val="0"/>
        </w:rPr>
        <w:br/>
      </w:r>
      <w:r>
        <w:rPr>
          <w:b w:val="0"/>
          <w:i w:val="0"/>
        </w:rPr>
        <w:t>- Chi về xây dụng cơ sở, trang bị kỹ thuật mới và củng cố, phát triển cơ sở vật chất kỹ thuật của Công ty.</w:t>
      </w:r>
      <w:r>
        <w:rPr>
          <w:b w:val="0"/>
          <w:i w:val="0"/>
        </w:rPr>
        <w:br/>
      </w:r>
      <w:r>
        <w:rPr>
          <w:b w:val="0"/>
          <w:i w:val="0"/>
        </w:rPr>
        <w:t>2.4. Ngoài số ngoại tệ được để lại cho Công ty cân đối sử dụng theo kế hoạch tài chính được duyệt về chi bằng ngoại tệ, số còn lại, PETROVIETNAM phải bán cho quỹ ngoại tệ tập trung của Nhà nước qua Ngân hàng theo đúng quyết định số 218 - CT ngày 18/8/1989 của Chủ tịch Hội đồng Bộ trưởng.</w:t>
      </w:r>
      <w:r>
        <w:rPr>
          <w:b w:val="0"/>
          <w:i w:val="0"/>
        </w:rPr>
        <w:br/>
      </w:r>
      <w:r>
        <w:rPr>
          <w:b w:val="0"/>
          <w:i w:val="0"/>
        </w:rPr>
        <w:t>2.5 Trên cơ sở kế hoạch tài chính được duyêt, ngân sách Nhà nước sẽ cấp phát theo kế hoạch vốn sự nghiệp bổ sung phần chênh lệch thiếu cho PETROVIETNAM trong trường hợp dự toán chi phí lớn hơn phần thu được để lại. Trường hợp số thu để lại lớn hơn dự toán chi thì Công ty được chuyển tiếp số dư sang năm sau sử dụng.</w:t>
      </w:r>
      <w:r>
        <w:rPr>
          <w:b w:val="0"/>
          <w:i w:val="0"/>
        </w:rPr>
        <w:br/>
      </w:r>
      <w:r>
        <w:rPr>
          <w:b w:val="0"/>
          <w:i w:val="0"/>
        </w:rPr>
        <w:t>2.6. PETROVIETNAM và các chi nhánh được mở và sử dụng các tài khoản bằng ngoại tệ và tiền Việt nam tại hệ thống Ngân hàng Nhà nước Việt nam để tiến hành các hoạt động của mình theo quy định.</w:t>
      </w:r>
      <w:r>
        <w:rPr>
          <w:b w:val="0"/>
          <w:i w:val="0"/>
        </w:rPr>
        <w:br/>
      </w:r>
      <w:r>
        <w:rPr>
          <w:b w:val="0"/>
          <w:i w:val="0"/>
        </w:rPr>
        <w:t>Bộ Tài chính thực hiện việc cấp phát vốn trực tiếp vào tài khoản của PETROVIETNAM tại Ngân hàng đăng ký.</w:t>
      </w:r>
      <w:r>
        <w:rPr>
          <w:b w:val="0"/>
          <w:i w:val="0"/>
        </w:rPr>
        <w:br/>
      </w:r>
      <w:r>
        <w:rPr>
          <w:b w:val="0"/>
          <w:i w:val="0"/>
        </w:rPr>
        <w:t>2.7. PETROVIETNAM có trách nhiệm tổ chức công tác hạch toán kế toán, thống kê và báo cáo quyết toán định kỳ tại Công ty và các chi nhánh của mình theo đúng Pháp lệnh kế toán, thống kê và điều lệ kế toán của Nhà nước.</w:t>
      </w:r>
      <w:r>
        <w:rPr>
          <w:b w:val="0"/>
          <w:i w:val="0"/>
        </w:rPr>
        <w:br/>
      </w:r>
      <w:r>
        <w:rPr>
          <w:b w:val="0"/>
          <w:i w:val="0"/>
        </w:rPr>
        <w:t>PETROVIETNAM và các chi nhánh chịu sự kiểm tra, thanh tra tài chính của các cơ quan tài chính Nhà nước theo chế độ hiện hành.</w:t>
      </w:r>
      <w:r>
        <w:rPr>
          <w:b w:val="0"/>
          <w:i w:val="0"/>
        </w:rPr>
        <w:br/>
      </w:r>
      <w:r>
        <w:rPr>
          <w:b w:val="0"/>
          <w:i w:val="0"/>
        </w:rPr>
        <w:t>III. ĐIỀU KHOẢN THI HÀNH :</w:t>
      </w:r>
      <w:r>
        <w:rPr>
          <w:b w:val="0"/>
          <w:i w:val="0"/>
        </w:rPr>
        <w:br/>
      </w:r>
      <w:r>
        <w:rPr>
          <w:b w:val="0"/>
          <w:i w:val="0"/>
        </w:rPr>
        <w:t>3.1. Thông tư này có hiệu lực thi hành kể từ ngày 01/01/1989. Mọi quy định trước đây trái với thông tư này đều bãi bỏ.</w:t>
      </w:r>
      <w:r>
        <w:rPr>
          <w:b w:val="0"/>
          <w:i w:val="0"/>
        </w:rPr>
        <w:br/>
      </w:r>
      <w:r>
        <w:rPr>
          <w:b w:val="0"/>
          <w:i w:val="0"/>
        </w:rPr>
        <w:t>3.2 PETROVIETNAM thực hiện nhanh việc báo cáo toàn bộ các nguồn vốn và chi phí của Công ty từ 01/01/1989 đến 30/9/89 để xác định thống nhất lại kế hoạch tài chính quý IV/1989 và các năm sau thực hiện phù hợp với thông tư này.</w:t>
      </w:r>
      <w:r>
        <w:rPr>
          <w:b w:val="0"/>
          <w:i w:val="0"/>
        </w:rPr>
        <w:br/>
      </w:r>
      <w:r>
        <w:rPr>
          <w:b w:val="0"/>
          <w:i w:val="0"/>
        </w:rPr>
        <w:br/>
      </w:r>
      <w:r>
        <w:rPr>
          <w:b w:val="0"/>
          <w:i w:val="0"/>
        </w:rPr>
        <w:br/>
      </w:r>
      <w:r>
        <w:rPr>
          <w:b w:val="0"/>
          <w:i w:val="0"/>
        </w:rPr>
        <w:br/>
      </w:r>
      <w:r>
        <w:rPr>
          <w:b w:val="0"/>
          <w:i w:val="0"/>
        </w:rPr>
        <w:br/>
      </w:r>
      <w:r>
        <w:rPr>
          <w:b/>
          <w:i w:val="0"/>
        </w:rPr>
        <w:t>TỔNG CỤC TRƯỞNG TỔNG CỤC DẦU KHÍ</w:t>
      </w:r>
      <w:r>
        <w:rPr>
          <w:b w:val="0"/>
          <w:i w:val="0"/>
        </w:rPr>
        <w:br/>
      </w:r>
      <w:r>
        <w:rPr>
          <w:b/>
          <w:i/>
        </w:rPr>
        <w:t>(Đã ký)</w:t>
      </w:r>
      <w:r>
        <w:rPr>
          <w:b w:val="0"/>
          <w:i w:val="0"/>
        </w:rPr>
        <w:br/>
      </w:r>
      <w:r>
        <w:rPr>
          <w:b/>
          <w:i w:val="0"/>
        </w:rPr>
        <w:t>TRƯƠNG THIÊN</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HỒ TẾ</w:t>
      </w:r>
      <w:r>
        <w:rPr>
          <w:b w:val="0"/>
          <w:i w:val="0"/>
        </w:rPr>
        <w:br/>
      </w:r>
      <w:r>
        <w:rPr>
          <w:b w:val="0"/>
          <w:i w:val="0"/>
        </w:rPr>
        <w:br/>
      </w:r>
      <w:r>
        <w:rPr>
          <w:b w:val="0"/>
          <w:i w:val="0"/>
        </w:rPr>
        <w:br/>
      </w:r>
      <w:r>
        <w:rPr>
          <w:b w:val="0"/>
          <w:i w:val="0"/>
        </w:rPr>
        <w:br/>
      </w:r>
      <w:r>
        <w:rPr>
          <w:b w:val="0"/>
          <w:i w:val="0"/>
        </w:rPr>
        <w:t>Nơi nhận :</w:t>
      </w:r>
      <w:r>
        <w:rPr>
          <w:b w:val="0"/>
          <w:i w:val="0"/>
        </w:rPr>
        <w:br/>
      </w:r>
      <w:r>
        <w:rPr>
          <w:b w:val="0"/>
          <w:i w:val="0"/>
        </w:rPr>
        <w:t>- VP. HĐBT</w:t>
      </w:r>
      <w:r>
        <w:rPr>
          <w:b w:val="0"/>
          <w:i w:val="0"/>
        </w:rPr>
        <w:br/>
      </w:r>
      <w:r>
        <w:rPr>
          <w:b w:val="0"/>
          <w:i w:val="0"/>
        </w:rPr>
        <w:t>- Viện NC.QLKTTW</w:t>
      </w:r>
      <w:r>
        <w:rPr>
          <w:b w:val="0"/>
          <w:i w:val="0"/>
        </w:rPr>
        <w:br/>
      </w:r>
      <w:r>
        <w:rPr>
          <w:b w:val="0"/>
          <w:i w:val="0"/>
        </w:rPr>
        <w:t>- UNKHNN</w:t>
      </w:r>
      <w:r>
        <w:rPr>
          <w:b w:val="0"/>
          <w:i w:val="0"/>
        </w:rPr>
        <w:br/>
      </w:r>
      <w:r>
        <w:rPr>
          <w:b w:val="0"/>
          <w:i w:val="0"/>
        </w:rPr>
        <w:t>- NH Ngoại thương VN</w:t>
      </w:r>
      <w:r>
        <w:rPr>
          <w:b w:val="0"/>
          <w:i w:val="0"/>
        </w:rPr>
        <w:br/>
      </w:r>
      <w:r>
        <w:rPr>
          <w:b w:val="0"/>
          <w:i w:val="0"/>
        </w:rPr>
        <w:t>- NH Đầu tư xây dựng VN</w:t>
      </w:r>
      <w:r>
        <w:rPr>
          <w:b w:val="0"/>
          <w:i w:val="0"/>
        </w:rPr>
        <w:br/>
      </w:r>
      <w:r>
        <w:rPr>
          <w:b w:val="0"/>
          <w:i w:val="0"/>
        </w:rPr>
        <w:t>- PETROVIETNAM và các chi nhánh.</w:t>
      </w:r>
      <w:r>
        <w:rPr>
          <w:b w:val="0"/>
          <w:i w:val="0"/>
        </w:rPr>
        <w:br/>
      </w:r>
      <w:r>
        <w:rPr>
          <w:b w:val="0"/>
          <w:i w:val="0"/>
        </w:rPr>
        <w:t>- Các Vụ, Cục của Bộ Tài chính</w:t>
      </w:r>
      <w:r>
        <w:rPr>
          <w:b w:val="0"/>
          <w:i w:val="0"/>
        </w:rPr>
        <w:br/>
      </w:r>
      <w:r>
        <w:rPr>
          <w:b w:val="0"/>
          <w:i w:val="0"/>
        </w:rPr>
        <w:t>và Tổng cục Dầu khí</w:t>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TỔNG CỤC DẦU KHÍ</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TRƯỞNG TỔNG CỤC DẦU KHÍ</w:t>
            </w:r>
            <w:r>
              <w:rPr>
                <w:b w:val="0"/>
                <w:i w:val="0"/>
              </w:rPr>
              <w:br/>
            </w:r>
            <w:r>
              <w:rPr>
                <w:b/>
                <w:i/>
              </w:rPr>
              <w:t>(Đã ký)</w:t>
            </w:r>
            <w:r>
              <w:rPr>
                <w:b w:val="0"/>
                <w:i w:val="0"/>
              </w:rPr>
              <w:br/>
            </w:r>
            <w:r>
              <w:rPr>
                <w:b/>
                <w:i w:val="0"/>
              </w:rPr>
              <w:t>TRƯƠNG THIÊN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