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40/2005/QĐ-BGTVT Về việc công bố luồng chuyên dùng Trường Thọ</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40/2005/QĐ-BGTVT</w:t>
      </w:r>
      <w:r>
        <w:rPr>
          <w:b w:val="0"/>
          <w:i w:val="0"/>
        </w:rPr>
        <w:br/>
      </w:r>
      <w:r>
        <w:rPr>
          <w:b w:val="0"/>
          <w:i w:val="0"/>
        </w:rPr>
        <w:br/>
      </w:r>
      <w:r>
        <w:rPr>
          <w:b w:val="0"/>
          <w:i/>
        </w:rPr>
        <w:br/>
      </w:r>
      <w:r>
        <w:rPr>
          <w:b w:val="0"/>
          <w:i/>
        </w:rPr>
        <w:t>Ngày 15 tháng 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40/2005/QĐ-BGTVT</w:t>
      </w:r>
      <w:r>
        <w:rPr>
          <w:b w:val="0"/>
          <w:i w:val="0"/>
        </w:rPr>
        <w:br/>
      </w:r>
      <w:r>
        <w:rPr>
          <w:b w:val="0"/>
          <w:i w:val="0"/>
        </w:rPr>
        <w:br/>
      </w:r>
      <w:r>
        <w:rPr>
          <w:b w:val="0"/>
          <w:i/>
        </w:rPr>
        <w:br/>
      </w:r>
      <w:r>
        <w:rPr>
          <w:b w:val="0"/>
          <w:i/>
        </w:rPr>
        <w:t>Ngày 15 tháng 9 năm 2005</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40/2005/QĐ-BGTVT</w:t>
      </w:r>
      <w:r>
        <w:rPr>
          <w:b w:val="0"/>
          <w:i w:val="0"/>
        </w:rPr>
        <w:br/>
      </w:r>
      <w:r>
        <w:rPr>
          <w:b w:val="0"/>
          <w:i w:val="0"/>
        </w:rPr>
        <w:br/>
      </w:r>
      <w:r>
        <w:rPr>
          <w:b w:val="0"/>
          <w:i/>
        </w:rPr>
        <w:br/>
      </w:r>
      <w:r>
        <w:rPr>
          <w:b w:val="0"/>
          <w:i/>
        </w:rPr>
        <w:t>Ngày 15 tháng 9 năm 2005</w:t>
      </w:r>
      <w:r>
        <w:rPr>
          <w:b w:val="0"/>
          <w:i/>
        </w:rPr>
        <w:br/>
      </w:r>
      <w:r>
        <w:rPr>
          <w:b w:val="0"/>
          <w:i w:val="0"/>
        </w:rPr>
        <w:br/>
      </w:r>
    </w:p>
    <w:p>
      <w:pPr>
        <w:jc w:val="center"/>
      </w:pPr>
      <w:r>
        <w:rPr>
          <w:b w:val="0"/>
          <w:i w:val="0"/>
        </w:rPr>
        <w:br/>
      </w:r>
      <w:r>
        <w:rPr>
          <w:b w:val="0"/>
          <w:i w:val="0"/>
        </w:rPr>
        <w:t>Số: 40/2005/QĐ-BGTVT</w:t>
      </w:r>
      <w:r>
        <w:rPr>
          <w:b w:val="0"/>
          <w:i w:val="0"/>
        </w:rPr>
        <w:br/>
      </w:r>
    </w:p>
    <w:p>
      <w:pPr>
        <w:jc w:val="center"/>
      </w:pPr>
      <w:r>
        <w:rPr>
          <w:b w:val="0"/>
          <w:i w:val="0"/>
        </w:rPr>
        <w:br/>
      </w:r>
      <w:r>
        <w:rPr>
          <w:b w:val="0"/>
          <w:i w:val="0"/>
        </w:rPr>
        <w:t>Ngày 15 tháng 9 năm 2005</w:t>
      </w:r>
      <w:r>
        <w:rPr>
          <w:b w:val="0"/>
          <w:i w:val="0"/>
        </w:rPr>
        <w:br/>
      </w:r>
    </w:p>
    <w:p>
      <w:r>
        <w:rPr>
          <w:b/>
          <w:i w:val="0"/>
        </w:rPr>
        <w:t>QUYẾT ĐỊNH CỦA BỘ TRƯỞNG BỘ GIAO THÔNG VẬN TẢI</w:t>
      </w:r>
    </w:p>
    <w:p>
      <w:r>
        <w:rPr>
          <w:b/>
          <w:i/>
        </w:rPr>
        <w:t>Về việc công bố luồng chuyên dùng Trường Thọ</w:t>
      </w:r>
    </w:p>
    <w:p>
      <w:r>
        <w:rPr>
          <w:b/>
          <w:i w:val="0"/>
        </w:rPr>
        <w:t>BỘ TRƯỞNG BỘ GIAO THÔNG VẬN TẢI</w:t>
      </w:r>
    </w:p>
    <w:p>
      <w:r>
        <w:rPr>
          <w:b w:val="0"/>
          <w:i/>
        </w:rPr>
        <w:t>Căn cứ Luật Giao thông đường thủy nội địa ngày 15 tháng 6 năm 2004;</w:t>
      </w:r>
    </w:p>
    <w:p>
      <w:r>
        <w:rPr>
          <w:b w:val="0"/>
          <w:i/>
        </w:rPr>
        <w:t>Căn cứ Nghị định số 86/2002/NĐ-CP ngày 05 tháng 11 năm 2002 của Chính phủ quy định chức năng, nhiệm vụ, quyền hạn và cơ cấu tổ chức của Bộ, cơ quang ngang Bộ;</w:t>
      </w:r>
    </w:p>
    <w:p>
      <w:r>
        <w:rPr>
          <w:b w:val="0"/>
          <w:i/>
        </w:rPr>
        <w:t>Căn cứ Nghị định số 34/2003/NĐ-CP ngày 04/4/2003 của Chính phủ quy định chức năng, nhiệm vụ, quyền hạn và cơ cấu tổ chức của Bộ GTVT;</w:t>
      </w:r>
    </w:p>
    <w:p>
      <w:r>
        <w:rPr>
          <w:b w:val="0"/>
          <w:i/>
        </w:rPr>
        <w:t xml:space="preserve">Căn cứ Quyết định số 27/2005/QĐ-BGTVT ngày 17/5/2005 của Bộ trưởng Bộ Giao thông Vận tải về quản lý đường thủy nội địa; </w:t>
      </w:r>
    </w:p>
    <w:p>
      <w:r>
        <w:rPr>
          <w:b w:val="0"/>
          <w:i/>
        </w:rPr>
        <w:t>Xét Tờ trình số 1519/TTr-CĐS ngày 05/8/2005 của Cục Đường sông Việt Nam và Tờ trình số 327/KVMN-XDCB ngày 21/7/2005 của Công ty kho vận Miền Nam đề nghị Bộ GTVT công bố luồng chuyên dùng Trường Thọ;</w:t>
      </w:r>
    </w:p>
    <w:p>
      <w:r>
        <w:rPr>
          <w:b w:val="0"/>
          <w:i/>
        </w:rPr>
        <w:t>Theo đề nghị của Vụ trưởng Vụ Kế hoạch đầu tư,</w:t>
      </w:r>
    </w:p>
    <w:p>
      <w:r>
        <w:rPr>
          <w:b/>
          <w:i w:val="0"/>
        </w:rPr>
        <w:t>QUYẾT ĐỊNH:</w:t>
      </w:r>
    </w:p>
    <w:p>
      <w:r>
        <w:rPr>
          <w:b/>
          <w:i w:val="0"/>
        </w:rPr>
        <w:t xml:space="preserve">Điều 1. </w:t>
      </w:r>
      <w:r>
        <w:rPr>
          <w:b w:val="0"/>
          <w:i w:val="0"/>
        </w:rPr>
        <w:t>Nay công bố luồng chuyên dùng Trường Thọ (Kênh Xi măng Hà Tiên) là luồng vận tải thủy chuyên dùng với các nội dung sau:</w:t>
      </w:r>
    </w:p>
    <w:p>
      <w:r>
        <w:rPr>
          <w:b w:val="0"/>
          <w:i w:val="0"/>
        </w:rPr>
        <w:t>- Loại đường thủy nội địa: Luồng chuyên dùng;</w:t>
      </w:r>
    </w:p>
    <w:p>
      <w:r>
        <w:rPr>
          <w:b w:val="0"/>
          <w:i w:val="0"/>
        </w:rPr>
        <w:t>- Chiều dài luồng: 1,8 km (Từ Km0 là điểm tiếp giáp giữa tim luồng sông Sài Gòn và tim luồng chuyên dùng Trường Thọ đến Km 1 + 800) ; - Cấp kỹ thuật: Cấp 3 (Theo TCVN 5664 - 1992);</w:t>
      </w:r>
    </w:p>
    <w:p>
      <w:r>
        <w:rPr>
          <w:b/>
          <w:i w:val="0"/>
        </w:rPr>
        <w:t xml:space="preserve">Điều 2. </w:t>
      </w:r>
      <w:r>
        <w:rPr>
          <w:b w:val="0"/>
          <w:i w:val="0"/>
        </w:rPr>
        <w:t>Giám đốc Công ty kho vận Miền Nam có trách nhiệm tổ chức quản lý, bảo trì, đảm bảo an toàn cho các phương tiện vận tải thủy vận hành trên đoạn sông này.</w:t>
      </w:r>
    </w:p>
    <w:p>
      <w:r>
        <w:rPr>
          <w:b/>
          <w:i w:val="0"/>
        </w:rPr>
        <w:t xml:space="preserve">Điều 3. </w:t>
      </w:r>
      <w:r>
        <w:rPr>
          <w:b w:val="0"/>
          <w:i w:val="0"/>
        </w:rPr>
        <w:t>Các ông Chánh Văn phòng Bộ, Vụ trưởng Vụ Kế hoạch đầu tư, Pháp chế, Cục trưởng Cục Đường sông Việt Nam, Giám đốc Sở GTCC thành phố Hồ Chí Minh, Giám đốc Công ty kho vận Miền Nam và Thủ trưởng các đơn vị có liên quan chịu trách nhiệm thì hành Quyết định này.</w:t>
      </w:r>
    </w:p>
    <w:p>
      <w:r>
        <w:rPr>
          <w:b/>
          <w:i w:val="0"/>
        </w:rPr>
        <w:t xml:space="preserve">Điều 4. </w:t>
      </w:r>
      <w:r>
        <w:rPr>
          <w:b w:val="0"/>
          <w:i w:val="0"/>
        </w:rPr>
        <w:t>Quyết định này có hiệu lực thi hành sau 15 ngày, kể từ ngày đăng Công báo./.</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Phạm Thế Minh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Phạm Thế Minh</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Phạm Thế Minh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Phạm Thế Minh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