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40/2025/NQ-HĐND Quy định một số biện pháp tăng cường giải tỏa vi phạm, chống tái lấn chiếm hành lang an toàn giao thông trên địa bàn tỉnh Nghệ An giai đoạn 2026 - 2030</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HỘI ĐỒNG NHÂN DÂN </w:t>
      </w:r>
      <w:r>
        <w:br/>
      </w:r>
      <w:r>
        <w:rPr>
          <w:b/>
          <w:i w:val="0"/>
        </w:rPr>
        <w:br/>
        <w:t xml:space="preserve">          TỈNH NGHỆ AN</w:t>
      </w:r>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br/>
      </w:r>
      <w:r>
        <w:rPr>
          <w:b w:val="0"/>
          <w:i w:val="0"/>
        </w:rPr>
        <w:br/>
      </w:r>
      <w:r>
        <w:rPr>
          <w:b w:val="0"/>
          <w:i w:val="0"/>
        </w:rPr>
        <w:t>Số: 40/2025/NQ-HĐND</w:t>
      </w:r>
      <w:r>
        <w:rPr>
          <w:b w:val="0"/>
          <w:i w:val="0"/>
        </w:rPr>
        <w:br/>
      </w:r>
      <w:r>
        <w:rPr>
          <w:b w:val="0"/>
          <w:i/>
        </w:rPr>
        <w:t>Nghệ An, ngày 12 tháng 12 năm 2025</w:t>
      </w:r>
      <w:r>
        <w:rPr>
          <w:b w:val="0"/>
          <w:i w:val="0"/>
        </w:rPr>
        <w:br/>
      </w:r>
      <w:r>
        <w:rPr>
          <w:b w:val="0"/>
          <w:i w:val="0"/>
        </w:rPr>
        <w:br/>
      </w:r>
      <w:r>
        <w:rPr>
          <w:b w:val="0"/>
          <w:i w:val="0"/>
        </w:rPr>
        <w:br/>
      </w:r>
      <w:r>
        <w:rPr>
          <w:b w:val="0"/>
          <w:i w:val="0"/>
        </w:rPr>
        <w:br/>
      </w:r>
      <w:r>
        <w:rPr>
          <w:b/>
          <w:i w:val="0"/>
        </w:rPr>
        <w:t>NGHỊ QUYẾT</w:t>
      </w:r>
      <w:r>
        <w:rPr>
          <w:b w:val="0"/>
          <w:i w:val="0"/>
        </w:rPr>
        <w:br/>
      </w:r>
      <w:r>
        <w:rPr>
          <w:b/>
          <w:i w:val="0"/>
        </w:rPr>
        <w:t>QUY ĐỊNH MỘT SỐ BIỆN PHÁP TĂNG CƯỜNG GIẢI TỎA VI PHẠM, CHỐNG TÁI LẤN CHIẾM HÀNH LANG AN TOÀN GIAO THÔNG TRÊN ĐỊA BÀN TỈNH NGHỆ AN  GIAI ĐOẠN 2026 - 2030</w:t>
      </w:r>
      <w:r>
        <w:rPr>
          <w:b w:val="0"/>
          <w:i w:val="0"/>
        </w:rPr>
        <w:br/>
      </w:r>
      <w:r>
        <w:rPr>
          <w:b w:val="0"/>
          <w:i/>
        </w:rPr>
        <w:t>Căn cứ Luật Tổ chức chính quyền địa phương số 72/2025/QH15;</w:t>
      </w:r>
      <w:r>
        <w:rPr>
          <w:b w:val="0"/>
          <w:i w:val="0"/>
        </w:rPr>
        <w:br/>
      </w:r>
      <w:r>
        <w:rPr>
          <w:b w:val="0"/>
          <w:i/>
        </w:rPr>
        <w:t>Căn cứ Luật Ban hành văn bản quy phạm pháp luật số 64/2025/QH15 được sửa đổi, bổ sung bởi Luật số 87/2025/QH15;</w:t>
      </w:r>
      <w:r>
        <w:rPr>
          <w:b w:val="0"/>
          <w:i w:val="0"/>
        </w:rPr>
        <w:br/>
      </w:r>
      <w:r>
        <w:rPr>
          <w:b w:val="0"/>
          <w:i/>
        </w:rPr>
        <w:t>Căn cứ Luật Ngân sách nhà nước số 89/2025/QH15;</w:t>
      </w:r>
      <w:r>
        <w:rPr>
          <w:b w:val="0"/>
          <w:i w:val="0"/>
        </w:rPr>
        <w:br/>
      </w:r>
      <w:r>
        <w:rPr>
          <w:b w:val="0"/>
          <w:i/>
        </w:rPr>
        <w:t>Căn cứ Luật Đường bộ số 35/2024/QH15;</w:t>
      </w:r>
      <w:r>
        <w:rPr>
          <w:b w:val="0"/>
          <w:i w:val="0"/>
        </w:rPr>
        <w:br/>
      </w:r>
      <w:r>
        <w:rPr>
          <w:b w:val="0"/>
          <w:i/>
        </w:rPr>
        <w:t>Căn cứ Luật Đất đai số 31/2024/QH15 được sửa đổi, bổ sung bởi Luật số 43/2024/QH15;</w:t>
      </w:r>
      <w:r>
        <w:rPr>
          <w:b w:val="0"/>
          <w:i w:val="0"/>
        </w:rPr>
        <w:br/>
      </w:r>
      <w:r>
        <w:rPr>
          <w:b w:val="0"/>
          <w:i/>
        </w:rPr>
        <w:t>Căn cứ Luật Đường sắt số 95/2025/QH15;</w:t>
      </w:r>
      <w:r>
        <w:rPr>
          <w:b w:val="0"/>
          <w:i w:val="0"/>
        </w:rPr>
        <w:br/>
      </w:r>
      <w:r>
        <w:rPr>
          <w:b w:val="0"/>
          <w:i/>
        </w:rPr>
        <w:t>Xét Tờ trình số 12971/TTr-UBND ngày 24 tháng 11 năm 2025 của Ủy ban nhân dân tỉnh; Báo cáo thẩm tra của Ban Pháp chế, Hội đồng nhân dân tỉnh và ý kiến thảo luận, thống nhất của các đại biểu Hội đồng nhân dân tỉnh;</w:t>
      </w:r>
      <w:r>
        <w:rPr>
          <w:b w:val="0"/>
          <w:i w:val="0"/>
        </w:rPr>
        <w:br/>
      </w:r>
      <w:r>
        <w:rPr>
          <w:b w:val="0"/>
          <w:i/>
        </w:rPr>
        <w:t>Hội đồng nhân dân tỉnh ban hành Nghị quyết quy định một số biện pháp tăng cường giải tỏa vi phạm, chống tái lấn chiếm hành lang an toàn giao thông trên địa bàn tỉnh Nghệ An giai đoạn 2026 - 2030</w:t>
      </w:r>
      <w:r>
        <w:rPr>
          <w:b/>
          <w:i w:val="0"/>
        </w:rPr>
        <w:t>,</w:t>
      </w:r>
      <w:r>
        <w:rPr>
          <w:b w:val="0"/>
          <w:i w:val="0"/>
        </w:rPr>
        <w:br/>
      </w:r>
      <w:r>
        <w:rPr>
          <w:b/>
          <w:i w:val="0"/>
        </w:rPr>
        <w:t>Điều 1.</w:t>
      </w:r>
      <w:r>
        <w:rPr>
          <w:b w:val="0"/>
          <w:i w:val="0"/>
        </w:rPr>
        <w:t xml:space="preserve"> </w:t>
      </w:r>
      <w:r>
        <w:rPr>
          <w:b/>
          <w:i w:val="0"/>
        </w:rPr>
        <w:t>Phạm vi điều chỉnh, đối tượng áp dụng</w:t>
      </w:r>
      <w:r>
        <w:rPr>
          <w:b w:val="0"/>
          <w:i w:val="0"/>
        </w:rPr>
        <w:br/>
      </w:r>
      <w:r>
        <w:rPr>
          <w:b w:val="0"/>
          <w:i w:val="0"/>
        </w:rPr>
        <w:t>1. Phạm vi điều chỉnh</w:t>
      </w:r>
      <w:r>
        <w:rPr>
          <w:b w:val="0"/>
          <w:i w:val="0"/>
        </w:rPr>
        <w:br/>
      </w:r>
      <w:r>
        <w:rPr>
          <w:b w:val="0"/>
          <w:i w:val="0"/>
        </w:rPr>
        <w:t>Nghị quyết này quy định một số biện pháp tăng cường giải tỏa vi phạm, chống tái lấn chiếm hành lang an toàn đường bộ, đường sắt (sau đây gọi chung là hành lang an toàn giao thông) trên địa bàn tỉnh Nghệ An giai đoạn 2026 - 2030.</w:t>
      </w:r>
      <w:r>
        <w:rPr>
          <w:b w:val="0"/>
          <w:i w:val="0"/>
        </w:rPr>
        <w:br/>
      </w:r>
      <w:r>
        <w:rPr>
          <w:b w:val="0"/>
          <w:i w:val="0"/>
        </w:rPr>
        <w:t>Hành lang an toàn giao thông trong Nghị quyết này bao gồm: Đất của đường bộ gồm phần đất để xây dựng công trình đường bộ và phần đất để bảo vệ, bảo trì đường bộ; bãi đỗ xe; điểm dừng xe, đỗ xe; Hành lang an toàn đường bộ; Phần đất để xây dựng công trình đường sắt, phạm vi bảo vệ công trình đường sắt; hành lang an toàn giao thông đường sắt.</w:t>
      </w:r>
      <w:r>
        <w:rPr>
          <w:b w:val="0"/>
          <w:i w:val="0"/>
        </w:rPr>
        <w:br/>
      </w:r>
      <w:r>
        <w:rPr>
          <w:b w:val="0"/>
          <w:i w:val="0"/>
        </w:rPr>
        <w:t>2. Đối tượng áp dụng</w:t>
      </w:r>
      <w:r>
        <w:rPr>
          <w:b w:val="0"/>
          <w:i w:val="0"/>
        </w:rPr>
        <w:br/>
      </w:r>
      <w:r>
        <w:rPr>
          <w:b w:val="0"/>
          <w:i w:val="0"/>
        </w:rPr>
        <w:t>Cơ quan, tổ chức, cá nhân liên quan đến hoạt động quản lý, bảo vệ, khai thác và sử dụng hành lang an toàn giao thông trên địa bàn tỉnh Nghệ An.</w:t>
      </w:r>
      <w:r>
        <w:rPr>
          <w:b w:val="0"/>
          <w:i w:val="0"/>
        </w:rPr>
        <w:br/>
      </w:r>
      <w:r>
        <w:rPr>
          <w:b/>
          <w:i w:val="0"/>
        </w:rPr>
        <w:t>Điều 2. Nguyên tắc thực hiện</w:t>
      </w:r>
      <w:r>
        <w:rPr>
          <w:b w:val="0"/>
          <w:i w:val="0"/>
        </w:rPr>
        <w:br/>
      </w:r>
      <w:r>
        <w:rPr>
          <w:b w:val="0"/>
          <w:i w:val="0"/>
        </w:rPr>
        <w:t>1. Thực hiện giải tỏa, tháo dỡ, di dời các công trình, vật kiến trúc, hàng hóa, máy móc, thiết bị, biển quảng cáo ra khỏi phạm vi hành lang an toàn giao thông khi xác định được hành vi vi phạm hành lang an toàn giao thông.</w:t>
      </w:r>
      <w:r>
        <w:rPr>
          <w:b w:val="0"/>
          <w:i w:val="0"/>
        </w:rPr>
        <w:br/>
      </w:r>
      <w:r>
        <w:rPr>
          <w:b w:val="0"/>
          <w:i w:val="0"/>
        </w:rPr>
        <w:t>2. Áp dụng các chế độ, chính sách của nhà nước về bồi thường, hỗ trợ và tái định cư để giải tỏa các công trình, vật kiến trúc ảnh hưởng trực tiếp về an toàn giao thông được đền bù theo quy định thuộc các dự án: Điểm hay xảy ra tai nạn giao thông, điểm tiềm ẩn tai nạn giao thông, bất cập về hạ tầng giao thông; nâng cấp, cải tạo đường bộ.</w:t>
      </w:r>
      <w:r>
        <w:rPr>
          <w:b w:val="0"/>
          <w:i w:val="0"/>
        </w:rPr>
        <w:br/>
      </w:r>
      <w:r>
        <w:rPr>
          <w:b/>
          <w:i w:val="0"/>
        </w:rPr>
        <w:t>Điều 3. Các biện pháp</w:t>
      </w:r>
      <w:r>
        <w:rPr>
          <w:b w:val="0"/>
          <w:i w:val="0"/>
        </w:rPr>
        <w:t xml:space="preserve"> </w:t>
      </w:r>
      <w:r>
        <w:rPr>
          <w:b/>
          <w:i w:val="0"/>
        </w:rPr>
        <w:t>tăng cường</w:t>
      </w:r>
      <w:r>
        <w:rPr>
          <w:b w:val="0"/>
          <w:i w:val="0"/>
        </w:rPr>
        <w:br/>
      </w:r>
      <w:r>
        <w:rPr>
          <w:b w:val="0"/>
          <w:i w:val="0"/>
        </w:rPr>
        <w:t>1. Huy động sự vào cuộc của cả hệ thống chính trị, đặc biệt là sự quyết liệt của cấp ủy và chính quyền địa phương cấp xã để chỉ đạo và tổ chức thực hiện công tác giải tỏa vi phạm, chống tái lấn chiếm hành lang an toàn giao thông.</w:t>
      </w:r>
      <w:r>
        <w:rPr>
          <w:b w:val="0"/>
          <w:i w:val="0"/>
        </w:rPr>
        <w:br/>
      </w:r>
      <w:r>
        <w:rPr>
          <w:b w:val="0"/>
          <w:i w:val="0"/>
        </w:rPr>
        <w:t>2. Đẩy mạnh công tác tuyên truyền sâu rộng, hiệu quả tới các tầng lớp nhân dân, đảm bảo duy trì kết quả đã đạt được và chống tái lấn chiếm, kịp thời phát hiện, ngăn ngừa các vi phạm mới.</w:t>
      </w:r>
      <w:r>
        <w:rPr>
          <w:b w:val="0"/>
          <w:i w:val="0"/>
        </w:rPr>
        <w:br/>
      </w:r>
      <w:r>
        <w:rPr>
          <w:b w:val="0"/>
          <w:i w:val="0"/>
        </w:rPr>
        <w:t>3. Tổ chức giải tỏa vi phạm, chống tái lấn chiếm và tăng cường quản lý hành lang an toàn giao thông</w:t>
      </w:r>
      <w:r>
        <w:rPr>
          <w:b w:val="0"/>
          <w:i w:val="0"/>
        </w:rPr>
        <w:br/>
      </w:r>
      <w:r>
        <w:rPr>
          <w:b w:val="0"/>
          <w:i w:val="0"/>
        </w:rPr>
        <w:t>a) Tổng kiểm tra, rà soát mốc lộ giới, chỉ giới đường đỏ hành lang an toàn giao thông; công bố công khai mốc lộ giới, chỉ giới đường đỏ để Nhân dân biết.</w:t>
      </w:r>
      <w:r>
        <w:rPr>
          <w:b w:val="0"/>
          <w:i w:val="0"/>
        </w:rPr>
        <w:br/>
      </w:r>
      <w:r>
        <w:rPr>
          <w:b w:val="0"/>
          <w:i w:val="0"/>
        </w:rPr>
        <w:t>b) Thực hiện việc rà soát, xác định ranh giới giữa đất được giao cho tổ chức, cá nhân sử dụng với đất của đường bộ, đường sắt và hành lang an toàn giao thông để xử lý theo quy định; đánh dấu bằng các mốc giới để xác định phạm vi giải tỏa vi phạm (ưu tiên tuyến đường đô thị, quốc lộ, đường tỉnh, đường xã).</w:t>
      </w:r>
      <w:r>
        <w:rPr>
          <w:b w:val="0"/>
          <w:i w:val="0"/>
        </w:rPr>
        <w:br/>
      </w:r>
      <w:r>
        <w:rPr>
          <w:b w:val="0"/>
          <w:i w:val="0"/>
        </w:rPr>
        <w:t>c) Thực hiện thu hồi đất, bồi thường, hỗ trợ và tái định cư để giải tỏa các công trình, vật kiến trúc ảnh hưởng trực tiếp về an toàn giao thông được đền bù theo quy định thuộc các dự án điểm hay xảy ra tai nạn giao thông, điểm tiềm ẩn tai nạn giao thông, bất cập về hạ tầng giao thông, dự án nâng cấp cải tạo đường bộ.</w:t>
      </w:r>
      <w:r>
        <w:rPr>
          <w:b w:val="0"/>
          <w:i w:val="0"/>
        </w:rPr>
        <w:br/>
      </w:r>
      <w:r>
        <w:rPr>
          <w:b w:val="0"/>
          <w:i w:val="0"/>
        </w:rPr>
        <w:t>d) Thực hiện chỉnh lý hồ sơ địa chính; xử lý dứt điểm các trường hợp giao đất trái thẩm quyền do lịch sử để lại, cấp đất nằm trong hành lang an toàn giao thông sau khi đã công bố công khai mốc lộ giới, chỉ giới đường đỏ các tuyến đường bộ, đường sắt.</w:t>
      </w:r>
      <w:r>
        <w:rPr>
          <w:b w:val="0"/>
          <w:i w:val="0"/>
        </w:rPr>
        <w:br/>
      </w:r>
      <w:r>
        <w:rPr>
          <w:b w:val="0"/>
          <w:i w:val="0"/>
        </w:rPr>
        <w:t>đ) Tăng cường công tác tuần tra, kiểm soát và xử lý vi phạm đối với các tổ chức, cá nhân lấn chiếm và tái lấn chiếm hành lang an toàn giao thông.</w:t>
      </w:r>
      <w:r>
        <w:rPr>
          <w:b w:val="0"/>
          <w:i w:val="0"/>
        </w:rPr>
        <w:br/>
      </w:r>
      <w:r>
        <w:rPr>
          <w:b w:val="0"/>
          <w:i w:val="0"/>
        </w:rPr>
        <w:t>e) Phát động phong trào toàn dân ra quân giải tỏa, chỉnh trang hành lang an toàn giao thông đường bộ, đường sắt. Đẩy mạnh mô hình đoạn đường tự quản của các tổ chức Ủy ban Mặt trận tổ quốc Việt Nam, tổ cộng đồng dân cư.</w:t>
      </w:r>
      <w:r>
        <w:rPr>
          <w:b w:val="0"/>
          <w:i w:val="0"/>
        </w:rPr>
        <w:br/>
      </w:r>
      <w:r>
        <w:rPr>
          <w:b w:val="0"/>
          <w:i w:val="0"/>
        </w:rPr>
        <w:t>4. Khen thưởng và xử lý trách nhiệm</w:t>
      </w:r>
      <w:r>
        <w:rPr>
          <w:b w:val="0"/>
          <w:i w:val="0"/>
        </w:rPr>
        <w:br/>
      </w:r>
      <w:r>
        <w:rPr>
          <w:b w:val="0"/>
          <w:i w:val="0"/>
        </w:rPr>
        <w:t>Ủy ban nhân dân tỉnh thực hiện về khen thưởng, xử lý trách nhiệm đối với tập thể và khen thưởng, kỷ luật đối với cá nhân trong thực hiện nhiệm vụ giải tỏa vi phạm, chống tái lấn chiếm hành lang an toàn giao thông.</w:t>
      </w:r>
      <w:r>
        <w:rPr>
          <w:b w:val="0"/>
          <w:i w:val="0"/>
        </w:rPr>
        <w:br/>
      </w:r>
      <w:r>
        <w:rPr>
          <w:b/>
          <w:i w:val="0"/>
        </w:rPr>
        <w:t>Điều 4. Kinh phí thực hiện</w:t>
      </w:r>
      <w:r>
        <w:rPr>
          <w:b w:val="0"/>
          <w:i w:val="0"/>
        </w:rPr>
        <w:br/>
      </w:r>
      <w:r>
        <w:rPr>
          <w:b w:val="0"/>
          <w:i w:val="0"/>
        </w:rPr>
        <w:t>Nguồn kinh phí thực hiện từ nguồn ngân sách nhà nước theo phân cấp ngân sách hiện hành và phù hợp với khả năng cân đối của ngân sách địa phương; các nguồn huy động hợp pháp khác.</w:t>
      </w:r>
      <w:r>
        <w:rPr>
          <w:b w:val="0"/>
          <w:i w:val="0"/>
        </w:rPr>
        <w:br/>
      </w:r>
      <w:r>
        <w:rPr>
          <w:b/>
          <w:i w:val="0"/>
        </w:rPr>
        <w:t>Điều 5. Tổ chức thực hiện</w:t>
      </w:r>
      <w:r>
        <w:rPr>
          <w:b w:val="0"/>
          <w:i w:val="0"/>
        </w:rPr>
        <w:br/>
      </w:r>
      <w:r>
        <w:rPr>
          <w:b w:val="0"/>
          <w:i w:val="0"/>
        </w:rPr>
        <w:t>1. Giao Ủy ban nhân dân tỉnh tổ chức thực hiện Nghị quyết này.</w:t>
      </w:r>
      <w:r>
        <w:rPr>
          <w:b w:val="0"/>
          <w:i w:val="0"/>
        </w:rPr>
        <w:br/>
      </w:r>
      <w:r>
        <w:rPr>
          <w:b w:val="0"/>
          <w:i w:val="0"/>
        </w:rPr>
        <w:t>2. Giao Thường trực Hội đồng nhân dân tỉnh, các Ban của Hội đồng nhân dân tỉnh, các Tổ đại biểu và đại biểu Hội đồng nhân dân tỉnh giám sát việc thực hiện Nghị quyết này.</w:t>
      </w:r>
      <w:r>
        <w:rPr>
          <w:b w:val="0"/>
          <w:i w:val="0"/>
        </w:rPr>
        <w:br/>
      </w:r>
      <w:r>
        <w:rPr>
          <w:b/>
          <w:i w:val="0"/>
        </w:rPr>
        <w:t>Điều 6. Hiệu lực thi hành</w:t>
      </w:r>
      <w:r>
        <w:rPr>
          <w:b w:val="0"/>
          <w:i w:val="0"/>
        </w:rPr>
        <w:br/>
      </w:r>
      <w:r>
        <w:rPr>
          <w:b w:val="0"/>
          <w:i w:val="0"/>
        </w:rPr>
        <w:t>Nghị quyết này có hiệu lực thi hành kể từ ngày 01 tháng 01 năm 2026 và thay thế Nghị quyết số 27/2021/NQ-HĐND ngày 09 tháng 12 năm 2021 của Hội đồng nhân dân tỉnh quy định một số biện pháp tăng cường giải tỏa vi phạm, chống tái lấn chiếm hành lang an toàn giao thông đường bộ, đường sắt trên địa bàn tỉnh Nghệ An giai đoạn 2022-2025.</w:t>
      </w:r>
      <w:r>
        <w:rPr>
          <w:b w:val="0"/>
          <w:i w:val="0"/>
        </w:rPr>
        <w:br/>
      </w:r>
      <w:r>
        <w:rPr>
          <w:b w:val="0"/>
          <w:i/>
        </w:rPr>
        <w:t>Nghị quyết này đã được HĐND tỉnh Nghệ An khoá XVIII, kỳ họp thứ 35, thông qua ngày 12 tháng 12 năm 2025./.</w:t>
      </w:r>
      <w:r>
        <w:rPr>
          <w:b w:val="0"/>
          <w:i/>
        </w:rPr>
        <w:t xml:space="preserve"> </w:t>
      </w:r>
      <w:r>
        <w:rPr>
          <w:b w:val="0"/>
          <w:i w:val="0"/>
        </w:rPr>
        <w:br/>
      </w:r>
      <w:r>
        <w:rPr>
          <w:b w:val="0"/>
          <w:i w:val="0"/>
        </w:rPr>
        <w:br/>
      </w:r>
      <w:r>
        <w:rPr>
          <w:b w:val="0"/>
          <w:i w:val="0"/>
        </w:rPr>
        <w:br/>
      </w:r>
      <w:r>
        <w:rPr>
          <w:b w:val="0"/>
          <w:i w:val="0"/>
        </w:rPr>
        <w:br/>
      </w:r>
      <w:r>
        <w:rPr>
          <w:b w:val="0"/>
          <w:i w:val="0"/>
        </w:rPr>
        <w:br/>
      </w:r>
      <w:r>
        <w:rPr>
          <w:b/>
          <w:i/>
        </w:rPr>
        <w:t>Nơi nhận:</w:t>
      </w:r>
      <w:r>
        <w:br/>
      </w:r>
      <w:r>
        <w:rPr>
          <w:b w:val="0"/>
          <w:i w:val="0"/>
        </w:rPr>
        <w:t>- Ủy ban Thường vụ Quốc hội, Chính phủ (để b/c);</w:t>
      </w:r>
      <w:r>
        <w:br/>
      </w:r>
      <w:r>
        <w:rPr>
          <w:b w:val="0"/>
          <w:i w:val="0"/>
        </w:rPr>
        <w:t>- Bộ Xây dựng, Bộ Công an;</w:t>
      </w:r>
      <w:r>
        <w:br/>
      </w:r>
      <w:r>
        <w:rPr>
          <w:b w:val="0"/>
          <w:i w:val="0"/>
        </w:rPr>
        <w:t>- Bộ Tư pháp (Cục Kiểm tra VBQPPL);</w:t>
      </w:r>
      <w:r>
        <w:br/>
      </w:r>
      <w:r>
        <w:rPr>
          <w:b w:val="0"/>
          <w:i w:val="0"/>
        </w:rPr>
        <w:t>- TT Tỉnh ủy, HĐND tỉnh, UBND tỉnh, UBMTTQVN tỉnh;</w:t>
      </w:r>
      <w:r>
        <w:br/>
      </w:r>
      <w:r>
        <w:rPr>
          <w:b w:val="0"/>
          <w:i w:val="0"/>
        </w:rPr>
        <w:t>- Đoàn Đại biểu Quốc hội tỉnh;</w:t>
      </w:r>
      <w:r>
        <w:br/>
      </w:r>
      <w:r>
        <w:rPr>
          <w:b w:val="0"/>
          <w:i w:val="0"/>
        </w:rPr>
        <w:t>- Đại biểu Hội đồng nhân dân tỉnh;</w:t>
      </w:r>
      <w:r>
        <w:br/>
      </w:r>
      <w:r>
        <w:rPr>
          <w:b w:val="0"/>
          <w:i w:val="0"/>
        </w:rPr>
        <w:t>- Tòa án nhân dân tỉnh, Viện Kiểm sát nhân dân tỉnh, Cục Thi hành án dân sự tỉnh;</w:t>
      </w:r>
      <w:r>
        <w:br/>
      </w:r>
      <w:r>
        <w:rPr>
          <w:b w:val="0"/>
          <w:i w:val="0"/>
        </w:rPr>
        <w:t>- Các sở, ban, ngành, đoàn thể cấp tỉnh;</w:t>
      </w:r>
      <w:r>
        <w:br/>
      </w:r>
      <w:r>
        <w:rPr>
          <w:b w:val="0"/>
          <w:i w:val="0"/>
        </w:rPr>
        <w:t>- HĐND, UBND, UBMTTQVN các xã, phường;</w:t>
      </w:r>
      <w:r>
        <w:br/>
      </w:r>
      <w:r>
        <w:rPr>
          <w:b w:val="0"/>
          <w:i w:val="0"/>
        </w:rPr>
        <w:t>- Trung tâm công báo tỉnh;</w:t>
      </w:r>
      <w:r>
        <w:br/>
      </w:r>
      <w:r>
        <w:rPr>
          <w:b w:val="0"/>
          <w:i w:val="0"/>
        </w:rPr>
        <w:t>- Công ty QLĐS: Thanh Hóa, Nghệ Tĩnh;</w:t>
      </w:r>
      <w:r>
        <w:br/>
      </w:r>
      <w:r>
        <w:rPr>
          <w:b w:val="0"/>
          <w:i w:val="0"/>
        </w:rPr>
        <w:t>- Website httd://daibieunhandannghean.vn;</w:t>
      </w:r>
      <w:r>
        <w:br/>
      </w:r>
      <w:r>
        <w:rPr>
          <w:b w:val="0"/>
          <w:i w:val="0"/>
        </w:rPr>
        <w:t>- Lưu: VT.</w:t>
      </w:r>
      <w:r>
        <w:rPr>
          <w:b w:val="0"/>
          <w:i w:val="0"/>
        </w:rPr>
        <w:br/>
      </w:r>
      <w:r>
        <w:rPr>
          <w:b w:val="0"/>
          <w:i w:val="0"/>
        </w:rPr>
        <w:br/>
      </w:r>
      <w:r>
        <w:rPr>
          <w:b/>
          <w:i w:val="0"/>
        </w:rPr>
        <w:t>CHỦ TỊCH</w:t>
      </w:r>
      <w:r>
        <w:br/>
      </w:r>
      <w:r>
        <w:br/>
      </w:r>
      <w:r>
        <w:rPr>
          <w:b/>
          <w:i w:val="0"/>
        </w:rPr>
        <w:br/>
        <w:t xml:space="preserve">          (Đã ký)</w:t>
      </w:r>
      <w:r>
        <w:br/>
      </w:r>
      <w:r>
        <w:br/>
      </w:r>
      <w:r>
        <w:rPr>
          <w:b/>
          <w:i w:val="0"/>
        </w:rPr>
        <w:br/>
        <w:t xml:space="preserve">          Hoàng Nghĩa Hiếu</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HỘI ĐỒNG NHÂN DÂN </w:t>
            </w:r>
            <w:r>
              <w:br/>
            </w:r>
            <w:r>
              <w:rPr>
                <w:b/>
                <w:i w:val="0"/>
              </w:rPr>
              <w:br/>
              <w:t xml:space="preserve">          TỈNH NGHỆ AN</w:t>
            </w:r>
          </w:p>
        </w:tc>
        <w:tc>
          <w:tcPr>
            <w:tcW w:type="dxa" w:w="4320"/>
          </w:tcPr>
          <w:p>
            <w:r>
              <w:rPr>
                <w:b/>
                <w:i w:val="0"/>
              </w:rPr>
              <w:t>CỘNG HÒA XÃ HỘI CHỦ NGHĨA VIỆT NAM</w:t>
            </w:r>
            <w:r>
              <w:br/>
            </w:r>
            <w:r>
              <w:rPr>
                <w:b/>
                <w:i w:val="0"/>
              </w:rPr>
              <w:br/>
              <w:t xml:space="preserve">         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Ủy ban Thường vụ Quốc hội, Chính phủ (để b/c);</w:t>
            </w:r>
            <w:r>
              <w:br/>
            </w:r>
            <w:r>
              <w:rPr>
                <w:b w:val="0"/>
                <w:i w:val="0"/>
              </w:rPr>
              <w:t>- Bộ Xây dựng, Bộ Công an;</w:t>
            </w:r>
            <w:r>
              <w:br/>
            </w:r>
            <w:r>
              <w:rPr>
                <w:b w:val="0"/>
                <w:i w:val="0"/>
              </w:rPr>
              <w:t>- Bộ Tư pháp (Cục Kiểm tra VBQPPL);</w:t>
            </w:r>
            <w:r>
              <w:br/>
            </w:r>
            <w:r>
              <w:rPr>
                <w:b w:val="0"/>
                <w:i w:val="0"/>
              </w:rPr>
              <w:t>- TT Tỉnh ủy, HĐND tỉnh, UBND tỉnh, UBMTTQVN tỉnh;</w:t>
            </w:r>
            <w:r>
              <w:br/>
            </w:r>
            <w:r>
              <w:rPr>
                <w:b w:val="0"/>
                <w:i w:val="0"/>
              </w:rPr>
              <w:t>- Đoàn Đại biểu Quốc hội tỉnh;</w:t>
            </w:r>
            <w:r>
              <w:br/>
            </w:r>
            <w:r>
              <w:rPr>
                <w:b w:val="0"/>
                <w:i w:val="0"/>
              </w:rPr>
              <w:t>- Đại biểu Hội đồng nhân dân tỉnh;</w:t>
            </w:r>
            <w:r>
              <w:br/>
            </w:r>
            <w:r>
              <w:rPr>
                <w:b w:val="0"/>
                <w:i w:val="0"/>
              </w:rPr>
              <w:t>- Tòa án nhân dân tỉnh, Viện Kiểm sát nhân dân tỉnh, Cục Thi hành án dân sự tỉnh;</w:t>
            </w:r>
            <w:r>
              <w:br/>
            </w:r>
            <w:r>
              <w:rPr>
                <w:b w:val="0"/>
                <w:i w:val="0"/>
              </w:rPr>
              <w:t>- Các sở, ban, ngành, đoàn thể cấp tỉnh;</w:t>
            </w:r>
            <w:r>
              <w:br/>
            </w:r>
            <w:r>
              <w:rPr>
                <w:b w:val="0"/>
                <w:i w:val="0"/>
              </w:rPr>
              <w:t>- HĐND, UBND, UBMTTQVN các xã, phường;</w:t>
            </w:r>
            <w:r>
              <w:br/>
            </w:r>
            <w:r>
              <w:rPr>
                <w:b w:val="0"/>
                <w:i w:val="0"/>
              </w:rPr>
              <w:t>- Trung tâm công báo tỉnh;</w:t>
            </w:r>
            <w:r>
              <w:br/>
            </w:r>
            <w:r>
              <w:rPr>
                <w:b w:val="0"/>
                <w:i w:val="0"/>
              </w:rPr>
              <w:t>- Công ty QLĐS: Thanh Hóa, Nghệ Tĩnh;</w:t>
            </w:r>
            <w:r>
              <w:br/>
            </w:r>
            <w:r>
              <w:rPr>
                <w:b w:val="0"/>
                <w:i w:val="0"/>
              </w:rPr>
              <w:t>- Website httd://daibieunhandannghean.vn;</w:t>
            </w:r>
            <w:r>
              <w:br/>
            </w:r>
            <w:r>
              <w:rPr>
                <w:b w:val="0"/>
                <w:i w:val="0"/>
              </w:rPr>
              <w:t>- Lưu: VT.</w:t>
            </w:r>
          </w:p>
        </w:tc>
        <w:tc>
          <w:tcPr>
            <w:tcW w:type="dxa" w:w="4320"/>
          </w:tcPr>
          <w:p>
            <w:r>
              <w:rPr>
                <w:b w:val="0"/>
                <w:i w:val="0"/>
              </w:rPr>
              <w:br/>
            </w:r>
            <w:r>
              <w:rPr>
                <w:b/>
                <w:i w:val="0"/>
              </w:rPr>
              <w:t>CHỦ TỊCH</w:t>
            </w:r>
            <w:r>
              <w:br/>
            </w:r>
            <w:r>
              <w:br/>
            </w:r>
            <w:r>
              <w:rPr>
                <w:b/>
                <w:i w:val="0"/>
              </w:rPr>
              <w:br/>
              <w:t xml:space="preserve">          (Đã ký)</w:t>
            </w:r>
            <w:r>
              <w:br/>
            </w:r>
            <w:r>
              <w:br/>
            </w:r>
            <w:r>
              <w:rPr>
                <w:b/>
                <w:i w:val="0"/>
              </w:rPr>
              <w:br/>
              <w:t xml:space="preserve">          Hoàng Nghĩa Hiếu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