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41/2011/QĐ-TTg Về việc chỉ định doanh nghiệp thực hiện duy trì, quản lý mạng bưu chính công cộng, cung ứng dịch vụ bưu chính công ích, dịch vụ bưu chính quốc tế</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41/2011/QĐ-TTg</w:t>
        <w:br/>
        <w:t xml:space="preserve">     </w:t>
      </w:r>
      <w:r>
        <w:rPr>
          <w:b w:val="0"/>
          <w:i w:val="0"/>
        </w:rPr>
        <w:br/>
      </w:r>
      <w:r>
        <w:rPr>
          <w:b w:val="0"/>
          <w:i/>
        </w:rPr>
        <w:br/>
        <w:t xml:space="preserve">      Hà Nội, Ngày 03 tháng 8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41/2011/QĐ-TTg</w:t>
        <w:br/>
        <w:t xml:space="preserve">     </w:t>
      </w:r>
      <w:r>
        <w:rPr>
          <w:b w:val="0"/>
          <w:i w:val="0"/>
        </w:rPr>
        <w:br/>
      </w:r>
      <w:r>
        <w:rPr>
          <w:b w:val="0"/>
          <w:i/>
        </w:rPr>
        <w:br/>
        <w:t xml:space="preserve">      Hà Nội, Ngày 03 tháng 8 năm 2011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41/2011/QĐ-TTg</w:t>
        <w:br/>
        <w:t xml:space="preserve">     </w:t>
      </w:r>
      <w:r>
        <w:rPr>
          <w:b w:val="0"/>
          <w:i w:val="0"/>
        </w:rPr>
        <w:br/>
      </w:r>
      <w:r>
        <w:rPr>
          <w:b w:val="0"/>
          <w:i/>
        </w:rPr>
        <w:br/>
        <w:t xml:space="preserve">      Hà Nội, Ngày 03 tháng 8 năm 2011</w:t>
        <w:br/>
        <w:t xml:space="preserve">     </w:t>
      </w:r>
      <w:r>
        <w:rPr>
          <w:b w:val="0"/>
          <w:i w:val="0"/>
        </w:rPr>
        <w:br/>
      </w:r>
    </w:p>
    <w:p>
      <w:pPr>
        <w:jc w:val="center"/>
      </w:pPr>
      <w:r>
        <w:rPr>
          <w:b w:val="0"/>
          <w:i w:val="0"/>
        </w:rPr>
        <w:br/>
        <w:t xml:space="preserve">      Số: 41/2011/QĐ-TTg</w:t>
        <w:br/>
        <w:t xml:space="preserve">     </w:t>
      </w:r>
    </w:p>
    <w:p>
      <w:pPr>
        <w:jc w:val="center"/>
      </w:pPr>
      <w:r>
        <w:rPr>
          <w:b w:val="0"/>
          <w:i w:val="0"/>
        </w:rPr>
        <w:br/>
        <w:t xml:space="preserve">      Hà Nội, Ngày 03 tháng 8 năm 2011</w:t>
        <w:br/>
        <w:t xml:space="preserve">     </w:t>
      </w:r>
    </w:p>
    <w:p>
      <w:pPr>
        <w:jc w:val="center"/>
      </w:pPr>
      <w:r>
        <w:rPr>
          <w:b/>
          <w:i w:val="0"/>
        </w:rPr>
        <w:t>QUYẾT ĐỊNH</w:t>
      </w:r>
    </w:p>
    <w:p>
      <w:pPr>
        <w:jc w:val="center"/>
      </w:pPr>
      <w:r>
        <w:rPr>
          <w:b/>
          <w:i w:val="0"/>
        </w:rPr>
        <w:t>Về việc chỉ định doanh nghiệp thực hiện duy trì, quản lý mạng bưu chính công cộng,</w:t>
      </w:r>
    </w:p>
    <w:p>
      <w:pPr>
        <w:jc w:val="center"/>
      </w:pPr>
      <w:r>
        <w:rPr>
          <w:b/>
          <w:i w:val="0"/>
        </w:rPr>
        <w:t>cung ứng dịch vụ bưu chính công ích, dịch vụ bưu chính quốc tế</w:t>
      </w:r>
    </w:p>
    <w:p>
      <w:pPr>
        <w:jc w:val="center"/>
      </w:pPr>
      <w:r>
        <w:rPr>
          <w:b w:val="0"/>
          <w:i w:val="0"/>
        </w:rPr>
        <w:t>__________________________</w:t>
      </w:r>
    </w:p>
    <w:p>
      <w:pPr>
        <w:jc w:val="center"/>
      </w:pPr>
      <w:r>
        <w:rPr>
          <w:b/>
          <w:i w:val="0"/>
        </w:rPr>
        <w:t xml:space="preserve"> </w:t>
      </w:r>
      <w:r>
        <w:rPr>
          <w:b/>
          <w:i w:val="0"/>
        </w:rPr>
        <w:t>THỦ TƯỚNG CHÍNH PHỦ</w:t>
      </w:r>
    </w:p>
    <w:p>
      <w:pPr>
        <w:jc w:val="both"/>
      </w:pPr>
      <w:r>
        <w:rPr>
          <w:b w:val="0"/>
          <w:i w:val="0"/>
        </w:rPr>
        <w:t>Căn cứ Luật Tổ chức Chính phủ ngày 25 tháng 12 năm 2001;</w:t>
      </w:r>
    </w:p>
    <w:p>
      <w:pPr>
        <w:jc w:val="both"/>
      </w:pPr>
      <w:r>
        <w:rPr>
          <w:b w:val="0"/>
          <w:i w:val="0"/>
        </w:rPr>
        <w:t>Căn cứ Luật Doanh nghiệp năm 2005;</w:t>
      </w:r>
    </w:p>
    <w:p>
      <w:pPr>
        <w:jc w:val="both"/>
      </w:pPr>
      <w:r>
        <w:rPr>
          <w:b w:val="0"/>
          <w:i w:val="0"/>
        </w:rPr>
        <w:t>Căn cứ Luật Bưu chính năm 2010;</w:t>
      </w:r>
    </w:p>
    <w:p>
      <w:pPr>
        <w:jc w:val="both"/>
      </w:pPr>
      <w:r>
        <w:rPr>
          <w:b w:val="0"/>
          <w:i w:val="0"/>
        </w:rPr>
        <w:t>Xét đề nghị của Bộ trưởng Bộ Thông tin và Truyền thông,</w:t>
      </w:r>
    </w:p>
    <w:p>
      <w:pPr>
        <w:jc w:val="center"/>
      </w:pPr>
      <w:r>
        <w:rPr>
          <w:b/>
          <w:i w:val="0"/>
        </w:rPr>
        <w:t>QUYẾT ĐỊNH:</w:t>
      </w:r>
    </w:p>
    <w:p>
      <w:r>
        <w:rPr>
          <w:b/>
          <w:i w:val="0"/>
        </w:rPr>
        <w:t xml:space="preserve">Điều 1. </w:t>
      </w:r>
      <w:r>
        <w:rPr>
          <w:b w:val="0"/>
          <w:i w:val="0"/>
        </w:rPr>
        <w:t>Chỉ định Tổng công ty Bưu chính Việt Nam</w:t>
      </w:r>
    </w:p>
    <w:p>
      <w:r>
        <w:rPr>
          <w:b w:val="0"/>
          <w:i w:val="0"/>
        </w:rPr>
        <w:t>- Tên viết tắt: Bưu chính Việt Nam</w:t>
      </w:r>
    </w:p>
    <w:p>
      <w:r>
        <w:rPr>
          <w:b w:val="0"/>
          <w:i w:val="0"/>
        </w:rPr>
        <w:t>- Tên giao dịch quốc tế: Vietnam Post, viết tắt là VNPost</w:t>
      </w:r>
    </w:p>
    <w:p>
      <w:r>
        <w:rPr>
          <w:b w:val="0"/>
          <w:i w:val="0"/>
        </w:rPr>
        <w:t>Là doanh nghiệp thực hiện duy trì, quản lý mạng bưu chính công cộng; cung ứng dịch vụ bưu chính công ích theo nhiệm vụ, kế hoạch mà Nhà nước giao; cung ứng dịch vụ bưu chính quốc tế và các dịch vụ khác trong khuôn khổ các điều ước quốc tế về bưu chính mà Cộng hòa xã hội chủ nghĩa Việt Nam là thành viên.</w:t>
      </w:r>
    </w:p>
    <w:p>
      <w:r>
        <w:rPr>
          <w:b/>
          <w:i w:val="0"/>
        </w:rPr>
        <w:t xml:space="preserve">Điều 2. </w:t>
      </w:r>
      <w:r>
        <w:rPr>
          <w:b w:val="0"/>
          <w:i w:val="0"/>
        </w:rPr>
        <w:t>Trách nhiệm của Bộ Thông tin và Truyền thông và các Bộ, ngành có liên quan:</w:t>
      </w:r>
    </w:p>
    <w:p>
      <w:r>
        <w:rPr>
          <w:b w:val="0"/>
          <w:i w:val="0"/>
        </w:rPr>
        <w:t>a) Bộ Thông tin và Truyền thông chủ trì, Bộ Tài chính và các Bộ, ngành có liên quan trong phạm vi chức năng nhiệm vụ của mình phối hợp hướng dẫn Tổng công ty Bưu chính Việt Nam cung ứng dịch vụ bưu chính công ích;</w:t>
      </w:r>
    </w:p>
    <w:p>
      <w:r>
        <w:rPr>
          <w:b w:val="0"/>
          <w:i w:val="0"/>
        </w:rPr>
        <w:t>b) Bộ Thông tin và Truyền thông hướng dẫn Tổng công ty Bưu chính Việt Nam cung ứng dịch vụ bưu chính quốc tế; quy định cụ thể về phạm vi, quyền và nghĩa vụ của Tổng công ty Bưu chính Việt Nam khi tham gia hoạt động trong các tổ chức bưu chính quốc tế.</w:t>
      </w:r>
    </w:p>
    <w:p>
      <w:r>
        <w:rPr>
          <w:b/>
          <w:i w:val="0"/>
        </w:rPr>
        <w:t xml:space="preserve">Điều 3. </w:t>
      </w:r>
      <w:r>
        <w:rPr>
          <w:b w:val="0"/>
          <w:i w:val="0"/>
        </w:rPr>
        <w:t>Trách nhiệm của Tổng công ty Bưu chính Việt Nam</w:t>
      </w:r>
    </w:p>
    <w:p>
      <w:r>
        <w:rPr>
          <w:b w:val="0"/>
          <w:i w:val="0"/>
        </w:rPr>
        <w:t>Tổng công ty Bưu chính Việt Nam có trách nhiệm thực hiện các quy định của pháp luật Việt Nam về duy trì, quản lý mạng bưu chính công cộng, cung ứng dịch vụ bưu chính công ích, cung ứng dịch vụ bưu chính quốc tế và các quy định trong các điều ước quốc tế về bưu chính mà Việt Nam tham gia ký kết; tham gia hoạt động trong các tổ chức thuộc Liên minh Bưu chính thế giới (UPU), Liên minh Bưu chính khu vực châu Á Thái Bình Dương (APPU).</w:t>
      </w:r>
    </w:p>
    <w:p>
      <w:r>
        <w:rPr>
          <w:b/>
          <w:i w:val="0"/>
        </w:rPr>
        <w:t xml:space="preserve">Điều 4. </w:t>
      </w:r>
      <w:r>
        <w:rPr>
          <w:b w:val="0"/>
          <w:i w:val="0"/>
        </w:rPr>
        <w:t>Quyết định này có hiệu lực thi hành kể từ ngày 01 tháng 10 năm 2011.</w:t>
      </w:r>
    </w:p>
    <w:p>
      <w:r>
        <w:rPr>
          <w:b/>
          <w:i w:val="0"/>
        </w:rPr>
        <w:t xml:space="preserve">Điều 5. </w:t>
      </w:r>
      <w:r>
        <w:rPr>
          <w:b w:val="0"/>
          <w:i w:val="0"/>
        </w:rPr>
        <w:t>Các Bộ trưởng, Thủ trưởng cơ quan ngang Bộ, Thủ trưởng cơ quan thuộc Chính phủ, Chủ tịch Hội đồng thành viên Tập đoàn Bưu chính Viễn thông Việt Nam, Tổng giám đốc Tổng công ty Bưu chính Việt Nam và Thủ trưởng các đơn vị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