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42 - TC/KBNN hướng dẫn thanh toán công trái xây dựng tổ quốc loại kỳ hạn 5 năm phát hành đợt 1987-1988 theo quyết định số 204/ CT ngày 9 tháng 6 năm 1992 của chủ tịch hội đồng bộ trưởng</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42 - TC/KBNN</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9 tháng 9 năm 1992</w:t>
      </w:r>
      <w:r>
        <w:rPr>
          <w:b w:val="0"/>
          <w:i w:val="0"/>
        </w:rPr>
        <w:br/>
      </w:r>
      <w:r>
        <w:rPr>
          <w:b w:val="0"/>
          <w:i w:val="0"/>
        </w:rPr>
        <w:br/>
      </w:r>
      <w:r>
        <w:rPr>
          <w:b w:val="0"/>
          <w:i w:val="0"/>
        </w:rPr>
        <w:br/>
      </w:r>
      <w:r>
        <w:rPr>
          <w:b w:val="0"/>
          <w:i w:val="0"/>
        </w:rPr>
        <w:br/>
      </w:r>
      <w:r>
        <w:rPr>
          <w:b w:val="0"/>
          <w:i w:val="0"/>
        </w:rPr>
        <w:t>THÔNG TƯ</w:t>
      </w:r>
      <w:r>
        <w:rPr>
          <w:b w:val="0"/>
          <w:i w:val="0"/>
        </w:rPr>
        <w:br/>
      </w:r>
      <w:r>
        <w:rPr>
          <w:b/>
          <w:i w:val="0"/>
        </w:rPr>
        <w:t>HƯỚNG DẪN THANH TOÁN CÔNG TRÁI XÂY DỰNG TỔ QUỐC LOẠI KỲ HẠN 5 NĂM PHÁT HÀNH ĐỢT 1987-1988 THEO QUYẾT ĐỊNH SỐ 204/ CT NGÀY 9 THÁNG 6 NĂM 1992 CỦA CHỦ TỊCH HỘI ĐỒNG BỘ TRƯỞNG</w:t>
      </w:r>
      <w:r>
        <w:rPr>
          <w:b w:val="0"/>
          <w:i w:val="0"/>
        </w:rPr>
        <w:br/>
      </w:r>
      <w:r>
        <w:rPr>
          <w:b w:val="0"/>
          <w:i w:val="0"/>
        </w:rPr>
        <w:t>Thi hành Quyết định số 204/CT ngày 9/6/1992 của Chủ tịch Hội đồng Bộ trưởng về việc thanh toán công trái xây dựng Tổ quốc loại kỳ hạn 5 năm phát hành đợt 1987 - 1988 (từ 15/11/1987 đến 31/12/1988) đến hạn thanh toán từ 15/11/1992, Bộ Tài chính hướng dẫn thực hiện như sau:</w:t>
      </w:r>
      <w:r>
        <w:rPr>
          <w:b w:val="0"/>
          <w:i w:val="0"/>
        </w:rPr>
        <w:br/>
      </w:r>
      <w:r>
        <w:rPr>
          <w:b/>
          <w:i w:val="0"/>
        </w:rPr>
        <w:t>I- PHẠM VI, NGUYÊN TẮC VÀ PHƯƠNG THỨC THANH TOÁN CÔNG TRÁI XÂY DỰNG TỔ QUỐC</w:t>
      </w:r>
      <w:r>
        <w:rPr>
          <w:b w:val="0"/>
          <w:i w:val="0"/>
        </w:rPr>
        <w:br/>
      </w:r>
      <w:r>
        <w:rPr>
          <w:b w:val="0"/>
          <w:i w:val="0"/>
        </w:rPr>
        <w:t>1/ Các loại phiếu công trái xây dựng Tổ quốc ghi và thu bằng tiền, bằng thóc, bằng vàng, bằng ngoại tệ có kỳ hạn 5 năm, phát hành trong đợt 1987 - 1988 (từ 15/11/1987 đến 31/12/1988) nếu đủ thời hạn 5 năm (60 tháng) kể từ ngày mua sẽ được thanh toán, bắt đầu từ 15/11/1992.</w:t>
      </w:r>
      <w:r>
        <w:rPr>
          <w:b w:val="0"/>
          <w:i w:val="0"/>
        </w:rPr>
        <w:br/>
      </w:r>
      <w:r>
        <w:rPr>
          <w:b w:val="0"/>
          <w:i w:val="0"/>
        </w:rPr>
        <w:t>Mọi trường hợp chậm thanh toán của các loại phiếu công trái XDTQ có kỳ hạn 5 năm, phát hành trong thời gian nói trên đều được thanh toán và hưởng lãi suất đúng hạn 5 năm.</w:t>
      </w:r>
      <w:r>
        <w:rPr>
          <w:b w:val="0"/>
          <w:i w:val="0"/>
        </w:rPr>
        <w:br/>
      </w:r>
      <w:r>
        <w:rPr>
          <w:b w:val="0"/>
          <w:i w:val="0"/>
        </w:rPr>
        <w:t>2/ Mọi phiếu công trái ghi và thu bằng tiền, bằng thóc, bằng vàng, bằng ngoại tệ đều được thanh toán tại Kho bạc Nhà nước tỉnh, thành phố, quận, huyện.</w:t>
      </w:r>
      <w:r>
        <w:rPr>
          <w:b w:val="0"/>
          <w:i w:val="0"/>
        </w:rPr>
        <w:br/>
      </w:r>
      <w:r>
        <w:rPr>
          <w:b w:val="0"/>
          <w:i w:val="0"/>
        </w:rPr>
        <w:t>Tuỳ theo hoàn cảnh địa dư, cơ quan Kho bạc Nhà nước, có sự chỉ đạo của chính quyền địa phương để có thể tổ chức thêm bàn thanh toán công trái lưu động nhằm tạo điều kiện cho người sở hữu phiếu công trái thanh toán được nhanh chóng, thuận lợi.</w:t>
      </w:r>
      <w:r>
        <w:rPr>
          <w:b w:val="0"/>
          <w:i w:val="0"/>
        </w:rPr>
        <w:br/>
      </w:r>
      <w:r>
        <w:rPr>
          <w:b w:val="0"/>
          <w:i w:val="0"/>
        </w:rPr>
        <w:t>3/ Giá trị các loại phiếu công trái XDTQ được thanh toán theo các nguyên tắc sau đây:</w:t>
      </w:r>
      <w:r>
        <w:rPr>
          <w:b w:val="0"/>
          <w:i w:val="0"/>
        </w:rPr>
        <w:br/>
      </w:r>
      <w:r>
        <w:rPr>
          <w:b w:val="0"/>
          <w:i w:val="0"/>
        </w:rPr>
        <w:t>a. Các phiếu công trái ghi và thu bằng tiền: khi thanh toán sẽ được tính lại giá trị căn cứ vào sự thay đổi của chỉ số giá cả bình quân của các mặt hàng bảo đảm giá trị tiền mua công trái (tại các Quyết định số 354 ngày 23/11/1987 và 123 TC/XSCT ngày 8/6/1988 của Bộ Tài chính) của năm thanh toán so với năm phát hành công trái XDTQ.</w:t>
      </w:r>
      <w:r>
        <w:rPr>
          <w:b w:val="0"/>
          <w:i w:val="0"/>
        </w:rPr>
        <w:br/>
      </w:r>
      <w:r>
        <w:rPr>
          <w:b w:val="0"/>
          <w:i w:val="0"/>
        </w:rPr>
        <w:t>Giá các mặt hàng làm căn cứ tính chỉ số giá để thanh toán phiếu công trái XDTQ đến hạn là giá phổ biến bình quân trên thị trường cả nước ở thời điểm thanh toán, không quy định chỉ số giá theo khu vực.</w:t>
      </w:r>
      <w:r>
        <w:rPr>
          <w:b w:val="0"/>
          <w:i w:val="0"/>
        </w:rPr>
        <w:br/>
      </w:r>
      <w:r>
        <w:rPr>
          <w:b w:val="0"/>
          <w:i w:val="0"/>
        </w:rPr>
        <w:t>Bộ trưởng Bộ Tài chính sẽ công bố chỉ số giá bình quân của các mặt hàng nói trên cho từng đợt thanh toán công trái XDTQ, sau khi thống nhất với chủ nhiệm uỷ ban Vật giá Nhà nước và Tổng cục trưởng Tổng cục Thống kê.</w:t>
      </w:r>
      <w:r>
        <w:rPr>
          <w:b w:val="0"/>
          <w:i w:val="0"/>
        </w:rPr>
        <w:br/>
      </w:r>
      <w:r>
        <w:rPr>
          <w:b w:val="0"/>
          <w:i w:val="0"/>
        </w:rPr>
        <w:t>b. Các phiếu công trái ghi và thu bằng thóc: khi thanh toán sẽ được tính thành tiền (cả gốc và lãi) theo giá thóc bình quân trên địa bàn tỉnh, thành phố ở thời điểm thanh toán do Bộ trưởng Bộ Tài chính công bố, sau khi thống nhất với chủ nhiệm Uỷ ban Vật giá Nhà nước và Tổng cục trưởng Tổng cục Thống kê.</w:t>
      </w:r>
      <w:r>
        <w:rPr>
          <w:b w:val="0"/>
          <w:i w:val="0"/>
        </w:rPr>
        <w:br/>
      </w:r>
      <w:r>
        <w:rPr>
          <w:b w:val="0"/>
          <w:i w:val="0"/>
        </w:rPr>
        <w:t>c. Các phiếu công trái thu và ghi bằng vàng: phần gốc được thanh toán bằng vàng theo đúng trọng lượng và chất lượng vàng đã ghi trên phiếu công trái (theo Nghị định số 59/HĐBT ngày 12 tháng 4 năm 1984 của Hội đồng Bộ trưởng); phần lãi được thanh toán bằng tiền đồng Việt nam, tính theo giá vàng mua vào của Công ty vàng bạc đá quý thuộc Ngân hàng Nhà nước công bố ở thời điểm thanh toán.</w:t>
      </w:r>
      <w:r>
        <w:rPr>
          <w:b w:val="0"/>
          <w:i w:val="0"/>
        </w:rPr>
        <w:br/>
      </w:r>
      <w:r>
        <w:rPr>
          <w:b w:val="0"/>
          <w:i w:val="0"/>
        </w:rPr>
        <w:t>Nếu người sở hữu phiếu công trái đề nghị được thanh toán cả gốc bằng tiền đồng Việt nam thì Nhà nước cũng thanh toán theo giá mua vàng nói trên.</w:t>
      </w:r>
      <w:r>
        <w:rPr>
          <w:b w:val="0"/>
          <w:i w:val="0"/>
        </w:rPr>
        <w:br/>
      </w:r>
      <w:r>
        <w:rPr>
          <w:b w:val="0"/>
          <w:i w:val="0"/>
        </w:rPr>
        <w:t>d. Các phiếu công trái ghi và thu bằng ngoại tệ chuyển đổi: Khi thanh toán, phần gốc sẽ được trả bằng ngoại tệ cùng loại đã ghi trên phiếu công trái; số lãi được thanh toán bằng tiền đồng Việt nam tính theo giá mua ngoại tệ của Ngân hàng Ngoại thương tại thời điểm thanh toán.</w:t>
      </w:r>
      <w:r>
        <w:rPr>
          <w:b w:val="0"/>
          <w:i w:val="0"/>
        </w:rPr>
        <w:br/>
      </w:r>
      <w:r>
        <w:rPr>
          <w:b w:val="0"/>
          <w:i w:val="0"/>
        </w:rPr>
        <w:t>Nếu người sở hữu phiếu công trái đề nghị được trả phần gốc bằng tiền đồng Việt nam thì cũng được quy đổi ngoại tệ sang tiền đồng Việt nam theo giá mua ngoại tệ ở thời điểm thanh toán do Ngân hàng Ngoại thương công bố.</w:t>
      </w:r>
      <w:r>
        <w:rPr>
          <w:b w:val="0"/>
          <w:i w:val="0"/>
        </w:rPr>
        <w:br/>
      </w:r>
      <w:r>
        <w:rPr>
          <w:b w:val="0"/>
          <w:i w:val="0"/>
        </w:rPr>
        <w:t>4/ Các loại phiếu công trái có ghi tên người mua, có đóng dấu năm phát hành và năm thanh toán, có ký mã số in trên tờ phiếu phù hợp với ký mã số của cuống phiếu lưu trữ là chứng từ hợp lệ để thanh toán. Trước khi thanh toán, cán bộ kế toán Kho bạc Nhà nước cần đối soát với hồ sơ gốc về mọi thủ tục khi mua công trái và đảm bảo thanh toán đúng đối tượng.</w:t>
      </w:r>
      <w:r>
        <w:rPr>
          <w:b w:val="0"/>
          <w:i w:val="0"/>
        </w:rPr>
        <w:br/>
      </w:r>
      <w:r>
        <w:rPr>
          <w:b w:val="0"/>
          <w:i w:val="0"/>
        </w:rPr>
        <w:t>Đối với phiếu công trái XDTQ đã được chuyển nhượng, khi thanh toán, ngoài phiếu công trái có chứng nhận đã làm thủ tục chuyển nhượng, người được chuyển nhượng phải xuất trình đơn đã được chính quyền địa phương hoặc cơ quan có thẩm quyền xác nhận của các lần chuyển nhượng (theo điều 5 - NĐ số 145/HĐBT ngày 6/12/1983 của Hội đồng Bộ trưởng).</w:t>
      </w:r>
      <w:r>
        <w:rPr>
          <w:b w:val="0"/>
          <w:i w:val="0"/>
        </w:rPr>
        <w:br/>
      </w:r>
      <w:r>
        <w:rPr>
          <w:b w:val="0"/>
          <w:i w:val="0"/>
        </w:rPr>
        <w:t>Đối với phiếu công trái XDTQ của người chuyển đến nơi cư trú mới, khi thanh toán phải có chứng nhận của chính quyền địa phương nơi đang cư trú, hộ khẩu hoặc chứng minh thư để làm thủ tục thanh toán công trái XDTQ (vãng lai).</w:t>
      </w:r>
      <w:r>
        <w:rPr>
          <w:b w:val="0"/>
          <w:i w:val="0"/>
        </w:rPr>
        <w:br/>
      </w:r>
      <w:r>
        <w:rPr>
          <w:b w:val="0"/>
          <w:i w:val="0"/>
        </w:rPr>
        <w:t>5/ Trường hợp mất phiếu công trái XDTQ vẫn được xét thanh toán là: khi bị mất phiếu, người sở hữu phiếu công trái đã làm đơn báo cho quận, huyện nơi cư trú hoặc nơi phát hành phiếu công trái để theo dõi và đối chiếu với hồ sơ gốc, trong đơn đã ghi rõ: Họ, tên, địa chỉ, số giấy chứng minh thư (nếu có) của người sở hữu phiếu công trái, số tiền hoặc số thóc, số ngoại tệ, số vàng ghi trên phiếu công trái, ngày và nơi phát hành công trái . . . (Điều 6 - Nghị định số 145/HĐBT ngày 6/12/1983).</w:t>
      </w:r>
      <w:r>
        <w:rPr>
          <w:b w:val="0"/>
          <w:i w:val="0"/>
        </w:rPr>
        <w:br/>
      </w:r>
      <w:r>
        <w:rPr>
          <w:b w:val="0"/>
          <w:i w:val="0"/>
        </w:rPr>
        <w:t>Sau khi thanh toán, Kho bạc Nhà nước cần có thông báo chi tiết về các loại, các hạng phiếu, các ký mã hiệu và số sêri của phiếu công trái XDTQ bị mất cho các đơn vị nội bộ biết để theo dõi và ngăn chặn các mặt tiêu cực có thể xảy ra. Nếu phiếu đã bị lợi dụng thanh toán trước khi Kho bạc Nhà nước nhận giấy báo mất thì người sở hữu phiếu công trái phải chịu thiệt hại.</w:t>
      </w:r>
      <w:r>
        <w:rPr>
          <w:b w:val="0"/>
          <w:i w:val="0"/>
        </w:rPr>
        <w:br/>
      </w:r>
      <w:r>
        <w:rPr>
          <w:b w:val="0"/>
          <w:i w:val="0"/>
        </w:rPr>
        <w:t>6/ Phương thức thanh toán tiền công trái XDTQ loại có kỳ hạn 5 năm của đợt phát hành 1987 - 1988 theo phụ lục hướng dẫn chi tiết đính kèm Thông tư này.</w:t>
      </w:r>
      <w:r>
        <w:rPr>
          <w:b w:val="0"/>
          <w:i w:val="0"/>
        </w:rPr>
        <w:br/>
      </w:r>
      <w:r>
        <w:rPr>
          <w:b/>
          <w:i w:val="0"/>
        </w:rPr>
        <w:t>II- NGUỒN VỐN THANH TOÁN CÔNG TRÁI XDTQ VÀ CHI PHÍ PHỤC VỤ CHO VIỆC THANH TOÁN CÔNG TRÁI XDTQ.</w:t>
      </w:r>
      <w:r>
        <w:rPr>
          <w:b w:val="0"/>
          <w:i w:val="0"/>
        </w:rPr>
        <w:br/>
      </w:r>
      <w:r>
        <w:rPr>
          <w:b w:val="0"/>
          <w:i w:val="0"/>
        </w:rPr>
        <w:t>Toàn bộ các khoản chi phục vụ cho việc thanh toán công trái XDTQ do Ngân sách Trung ương cấp, bao gồm:</w:t>
      </w:r>
      <w:r>
        <w:rPr>
          <w:b w:val="0"/>
          <w:i w:val="0"/>
        </w:rPr>
        <w:br/>
      </w:r>
      <w:r>
        <w:rPr>
          <w:b w:val="0"/>
          <w:i w:val="0"/>
        </w:rPr>
        <w:t>- Chi tiền thanh toán phiếu công trái (cả gốc, lãi, trượt giá).</w:t>
      </w:r>
      <w:r>
        <w:rPr>
          <w:b w:val="0"/>
          <w:i w:val="0"/>
        </w:rPr>
        <w:br/>
      </w:r>
      <w:r>
        <w:rPr>
          <w:b w:val="0"/>
          <w:i w:val="0"/>
        </w:rPr>
        <w:t>- Chi về ấn chỉ, các tài liệu và mẫu biểu, chi tập huấn nghiệp vụ;</w:t>
      </w:r>
      <w:r>
        <w:rPr>
          <w:b w:val="0"/>
          <w:i w:val="0"/>
        </w:rPr>
        <w:br/>
      </w:r>
      <w:r>
        <w:rPr>
          <w:b w:val="0"/>
          <w:i w:val="0"/>
        </w:rPr>
        <w:t>- Các khoản chi khác phục vụ cho việc thanh toán công trái XDTQ theo kế hoạch bằng 1% trên số tiền thanh toán công trái.</w:t>
      </w:r>
      <w:r>
        <w:rPr>
          <w:b w:val="0"/>
          <w:i w:val="0"/>
        </w:rPr>
        <w:br/>
      </w:r>
      <w:r>
        <w:rPr>
          <w:b w:val="0"/>
          <w:i w:val="0"/>
        </w:rPr>
        <w:t>Hạch toán kế toán về kinh phí chi trả công trái và phục vụ việc chi trả công trái áp dụng theo văn bản hướng dẫn của Cục Kho bạc Nhà nước.</w:t>
      </w:r>
      <w:r>
        <w:rPr>
          <w:b w:val="0"/>
          <w:i w:val="0"/>
        </w:rPr>
        <w:br/>
      </w:r>
      <w:r>
        <w:rPr>
          <w:b w:val="0"/>
          <w:i w:val="0"/>
        </w:rPr>
        <w:t>Cuối đợt thanh toán công trái, các đơn vị Kho bạc Nhà nước phải có thuyết minh quyết toán riêng và bảng kê chi tiết đính kèm (theo các mẫu biểu quy định) để Kho bạc Nhà nước cấp trên xét duyệt.</w:t>
      </w:r>
      <w:r>
        <w:rPr>
          <w:b w:val="0"/>
          <w:i w:val="0"/>
        </w:rPr>
        <w:br/>
      </w:r>
      <w:r>
        <w:rPr>
          <w:b w:val="0"/>
          <w:i w:val="0"/>
        </w:rPr>
        <w:t>Việc quyết toán chi trả tiền công trái XDTQ cho người sở hữu phiếu công trái và kinh phí phục vụ cho việc chi trả công trái. Hệ thống Kho bạc Nhà nước phải báo cáo đầy đủ, chính xác theo mẫu biểu báo cáo quyết toán đính kèm thông tư này.</w:t>
      </w:r>
      <w:r>
        <w:rPr>
          <w:b w:val="0"/>
          <w:i w:val="0"/>
        </w:rPr>
        <w:br/>
      </w:r>
      <w:r>
        <w:rPr>
          <w:b/>
          <w:i w:val="0"/>
        </w:rPr>
        <w:t>III- TỔ CHỨC THỰC HIỆN</w:t>
      </w:r>
      <w:r>
        <w:rPr>
          <w:b w:val="0"/>
          <w:i w:val="0"/>
        </w:rPr>
        <w:br/>
      </w:r>
      <w:r>
        <w:rPr>
          <w:b w:val="0"/>
          <w:i w:val="0"/>
        </w:rPr>
        <w:t>1/ Ngân hàng Nhà nước Việt nam có trách nhiệm bố trí đủ và kịp thời tiền mặt, vàng và ngoại tệ để Kho bạc Nhà nước trả nợ cho dân.</w:t>
      </w:r>
      <w:r>
        <w:rPr>
          <w:b w:val="0"/>
          <w:i w:val="0"/>
        </w:rPr>
        <w:br/>
      </w:r>
      <w:r>
        <w:rPr>
          <w:b w:val="0"/>
          <w:i w:val="0"/>
        </w:rPr>
        <w:t>2/ Bộ Nông nghiệp và Công nghiệp thực phẩm có trách nhiệm chỉ đạo các đơnvị thuộc phạm vi mình quản lý ở các địa phương có thu thóc công trái XDTQ kỳ hạn 5 năm (phát hành từ 15/11/1987 đến 31/12/1988) kiểm tra hồ sơ, sổ sách lưu trữ để cùng với Ngân hàng Nhà nước và Bộ Tài chính soát xét, xác định chính xác số lượng các hạng phiếu công trái ghi và thu bằng thóc đã phát hành, số lượng thóc đã nhập kho lương thực, số tiền thóc công trái đã thanh toán với Ngân sách Nhà nước để làm căn cứ trả nợ dân.</w:t>
      </w:r>
      <w:r>
        <w:rPr>
          <w:b w:val="0"/>
          <w:i w:val="0"/>
        </w:rPr>
        <w:br/>
      </w:r>
      <w:r>
        <w:rPr>
          <w:b w:val="0"/>
          <w:i w:val="0"/>
        </w:rPr>
        <w:t>3/ Uỷ ban Vật giá Nhà nước và Tổng cục Thống kê có trách nhiệm cùng với Bộ Tài chính thống nhất xác định chỉ số giá các mặt hàng đảm bảo giá trị tiền mua công trái và giá thóc làm căn cứ thanh toán phiếu công trái XDTQ.</w:t>
      </w:r>
      <w:r>
        <w:rPr>
          <w:b w:val="0"/>
          <w:i w:val="0"/>
        </w:rPr>
        <w:br/>
      </w:r>
      <w:r>
        <w:rPr>
          <w:b w:val="0"/>
          <w:i w:val="0"/>
        </w:rPr>
        <w:t>4/ Uỷ ban Nhân dân các Tỉnh, Thành phố có trách nhiệm chỉ đạo, đôn đốc các ngành, các đơn vị có liên quan đến việc thanh toán công trái XDTQ như Ngân hàng, Công ty lương thực, Kho bạc Nhà nước. . . địa phương thực hiện tốt việc thanh toán, chi trả công trái XDTQ cho dân.</w:t>
      </w:r>
      <w:r>
        <w:rPr>
          <w:b w:val="0"/>
          <w:i w:val="0"/>
        </w:rPr>
        <w:br/>
      </w:r>
      <w:r>
        <w:rPr>
          <w:b w:val="0"/>
          <w:i w:val="0"/>
        </w:rPr>
        <w:t>5/ Bộ Tài chính có trách nhiệm hướng dẫn, chỉ đạo các đơn vị thuộc Bộ thực hiện việc thanh toán công trái XDTQ đúng chế độ, chính sách của Nhà nước:</w:t>
      </w:r>
      <w:r>
        <w:rPr>
          <w:b w:val="0"/>
          <w:i w:val="0"/>
        </w:rPr>
        <w:br/>
      </w:r>
      <w:r>
        <w:rPr>
          <w:b w:val="0"/>
          <w:i w:val="0"/>
        </w:rPr>
        <w:t>5.1- Vụ Ngân sách Nhà nước .</w:t>
      </w:r>
      <w:r>
        <w:rPr>
          <w:b w:val="0"/>
          <w:i w:val="0"/>
        </w:rPr>
        <w:br/>
      </w:r>
      <w:r>
        <w:rPr>
          <w:b w:val="0"/>
          <w:i w:val="0"/>
        </w:rPr>
        <w:t>a. Bố trí kế hoạch vốn Ngân sách Nhà nước để có kinh phí thanh toán phiếu công trái và các chi phí cần thiết cho công tác này.</w:t>
      </w:r>
      <w:r>
        <w:rPr>
          <w:b w:val="0"/>
          <w:i w:val="0"/>
        </w:rPr>
        <w:br/>
      </w:r>
      <w:r>
        <w:rPr>
          <w:b w:val="0"/>
          <w:i w:val="0"/>
        </w:rPr>
        <w:t>b. Cùng với Cục Kho bạc Nhà nước kiểm tra số tiền thu công trái đã nộp Ngân sách Nhà nước và chi Ngân sách Nhà nước để thanh toán công trái cho dân.</w:t>
      </w:r>
      <w:r>
        <w:rPr>
          <w:b w:val="0"/>
          <w:i w:val="0"/>
        </w:rPr>
        <w:br/>
      </w:r>
      <w:r>
        <w:rPr>
          <w:b w:val="0"/>
          <w:i w:val="0"/>
        </w:rPr>
        <w:t>5.2- Vụ cân đối tài chính: cùng với Uỷ ban Vật giá Nhà nước, Tổng cục Thống kê, Cục Kho bạc Nhà nước tính toán xác định chỉ số giá các mặt hàng đảm bảo giá trị tiền mua công trái và giá thóc làm căn cứ thanh toán phiếu công trái XDTQ.</w:t>
      </w:r>
      <w:r>
        <w:rPr>
          <w:b w:val="0"/>
          <w:i w:val="0"/>
        </w:rPr>
        <w:br/>
      </w:r>
      <w:r>
        <w:rPr>
          <w:b w:val="0"/>
          <w:i w:val="0"/>
        </w:rPr>
        <w:t>5.3- Cục Kho bạc Nhà nước:</w:t>
      </w:r>
      <w:r>
        <w:rPr>
          <w:b w:val="0"/>
          <w:i w:val="0"/>
        </w:rPr>
        <w:br/>
      </w:r>
      <w:r>
        <w:rPr>
          <w:b w:val="0"/>
          <w:i w:val="0"/>
        </w:rPr>
        <w:t>a. Tổ chức kiểm tra hồ sơ quyết toán của đợt công trái đã phát hành do Ngân hàng bàn giao. Lập kế hoạch thanh toán tiền công trái cho các Chi cục Kho bạc Nhà nước tỉnh, thành phố và chỉ đạo, hướng dẫn việc thanh toán cho người sở hữu phiếu công trái;</w:t>
      </w:r>
      <w:r>
        <w:rPr>
          <w:b w:val="0"/>
          <w:i w:val="0"/>
        </w:rPr>
        <w:br/>
      </w:r>
      <w:r>
        <w:rPr>
          <w:b w:val="0"/>
          <w:i w:val="0"/>
        </w:rPr>
        <w:t>b. Tổ chức tập huấn cho cán bộ của các Chi cục Kho bạc Nhà nước nắm vững nội dung, yêu cầu, nhiệm vụ thanh toán phiếu công trái XDTQ, cách tính toán chỉ số giá cả các mặt hàng đảm bảo giá trị tiền mua công trái, cách tính lãi đối với tiền, thóc, vàng, ngoại tệ mua công trái.</w:t>
      </w:r>
      <w:r>
        <w:rPr>
          <w:b w:val="0"/>
          <w:i w:val="0"/>
        </w:rPr>
        <w:br/>
      </w:r>
      <w:r>
        <w:rPr>
          <w:b w:val="0"/>
          <w:i w:val="0"/>
        </w:rPr>
        <w:t>c. Phối hợp với các ngành liên quan (Bộ Nông nghiệp và Công nghiệp thực phẩm, Ngân hàng Nhà nước Việt nam . . .) tổ chức kiểm tra, thực hiện tốt việc chi trả cho người sở hữu phiếu công trái theo đúng chính sách, chế độ và giải quyết kịp thời các vướng mắc phát sinh.</w:t>
      </w:r>
      <w:r>
        <w:rPr>
          <w:b w:val="0"/>
          <w:i w:val="0"/>
        </w:rPr>
        <w:br/>
      </w:r>
      <w:r>
        <w:rPr>
          <w:b w:val="0"/>
          <w:i w:val="0"/>
        </w:rPr>
        <w:t>d. Tổ chức rút kinh nghiệm và tổng hợp báo cáo kết quả đợt thanh toán công trái cho dân.</w:t>
      </w:r>
      <w:r>
        <w:rPr>
          <w:b w:val="0"/>
          <w:i w:val="0"/>
        </w:rPr>
        <w:br/>
      </w:r>
      <w:r>
        <w:rPr>
          <w:b w:val="0"/>
          <w:i w:val="0"/>
        </w:rPr>
        <w:t>5.4- Đối với Chi cục Kho bạc Nhà nước tỉnh, thành phố:</w:t>
      </w:r>
      <w:r>
        <w:rPr>
          <w:b w:val="0"/>
          <w:i w:val="0"/>
        </w:rPr>
        <w:br/>
      </w:r>
      <w:r>
        <w:rPr>
          <w:b w:val="0"/>
          <w:i w:val="0"/>
        </w:rPr>
        <w:t>a. Chi cục Kho bạc Nhà nước tỉnh, thành phố có trách nhiệm tham mưu giúp UBND tỉnh lập kế hoạch, biện pháp chỉ đạo thực hiện việc thanh toán tiền công trái trong toàn tỉnh.</w:t>
      </w:r>
      <w:r>
        <w:rPr>
          <w:b w:val="0"/>
          <w:i w:val="0"/>
        </w:rPr>
        <w:br/>
      </w:r>
      <w:r>
        <w:rPr>
          <w:b w:val="0"/>
          <w:i w:val="0"/>
        </w:rPr>
        <w:t>b. Tập huấn cho các cán bộ trực tiếp làm nhiệm vụ thanh toán công trái của các Chi nhánh Kho bạc Nhà nước quận, huyện về quy trình nghiệp vụ thanh toán tiền công trái.</w:t>
      </w:r>
      <w:r>
        <w:rPr>
          <w:b w:val="0"/>
          <w:i w:val="0"/>
        </w:rPr>
        <w:br/>
      </w:r>
      <w:r>
        <w:rPr>
          <w:b w:val="0"/>
          <w:i w:val="0"/>
        </w:rPr>
        <w:t>c. Phối hợp chặt chẽ với các ngành có liên quan (lương thực, ngân hàng . . .) tổ chức việc thanh toán công trái trên từng địa bàn, đảm bảo yêu cầu chính xác, nhanh chóng, thuận tiện đến tận tay người sở hữu phiếu công trái, không ảnh hưởng đến sản xuất và sinh hoạt, đảm bảo an toàn tài sản của Nhà nước và của nhân dân.</w:t>
      </w:r>
      <w:r>
        <w:rPr>
          <w:b w:val="0"/>
          <w:i w:val="0"/>
        </w:rPr>
        <w:br/>
      </w:r>
      <w:r>
        <w:rPr>
          <w:b w:val="0"/>
          <w:i w:val="0"/>
        </w:rPr>
        <w:t>d. Sau khi kết thúc việc thanh toán công trái (của đợt 87 - 88) Chi cục Kho bạc Nhà nước cần sơ kết rút kinh nghiệm và lập báo cáo tổng quyết toán số tiền đã thanh toán (khớp đúng với các loại và các hạng phiếu công trái đã thu lại) gửi về Cục Kho bạc Nhà nước để kiểm tra, đối chiếu và tổng hợp báo cáo.</w:t>
      </w:r>
      <w:r>
        <w:rPr>
          <w:b w:val="0"/>
          <w:i w:val="0"/>
        </w:rPr>
        <w:br/>
      </w:r>
      <w:r>
        <w:rPr>
          <w:b w:val="0"/>
          <w:i w:val="0"/>
        </w:rPr>
        <w:t>Các Chi nhánh Kho bạc Nhà nước thực hiện việc chi trả công trái XDTQ cần chấp hành nghiêm chỉnh các quy định và hướng dẫn của Kho bạc Nhà nước cấp trên.</w:t>
      </w:r>
      <w:r>
        <w:rPr>
          <w:b w:val="0"/>
          <w:i w:val="0"/>
        </w:rPr>
        <w:br/>
      </w:r>
      <w:r>
        <w:rPr>
          <w:b w:val="0"/>
          <w:i w:val="0"/>
        </w:rPr>
        <w:t>Trong quá trình thực hiện nếu có khó khăn vướng mắc, đề nghị các đơn vị và địa phương kịp thời báo cáo để Bộ Tài chính (Cục Kho bạc Nhà nước nghiên cứu phối hợp giải quyết./.</w:t>
      </w:r>
      <w:r>
        <w:rPr>
          <w:b w:val="0"/>
          <w:i w:val="0"/>
        </w:rPr>
        <w:br/>
      </w:r>
      <w:r>
        <w:rPr>
          <w:b w:val="0"/>
          <w:i w:val="0"/>
        </w:rPr>
        <w:t>KT/ BỘ TRƯỞNG BỘ TÀI CHÍNH</w:t>
      </w:r>
      <w:r>
        <w:rPr>
          <w:b w:val="0"/>
          <w:i w:val="0"/>
        </w:rPr>
        <w:br/>
      </w:r>
      <w:r>
        <w:rPr>
          <w:b/>
          <w:i w:val="0"/>
        </w:rPr>
        <w:t xml:space="preserve"> </w:t>
      </w:r>
      <w:r>
        <w:rPr>
          <w:b w:val="0"/>
          <w:i w:val="0"/>
        </w:rPr>
        <w:t>THỨ TRƯỞNG</w:t>
      </w:r>
      <w:r>
        <w:rPr>
          <w:b w:val="0"/>
          <w:i w:val="0"/>
        </w:rPr>
        <w:br/>
      </w:r>
      <w:r>
        <w:rPr>
          <w:b/>
          <w:i w:val="0"/>
        </w:rPr>
        <w:t xml:space="preserve"> </w:t>
      </w:r>
      <w:r>
        <w:rPr>
          <w:b/>
          <w:i/>
        </w:rPr>
        <w:t>Lý Tài Luận</w:t>
      </w:r>
      <w:r>
        <w:rPr>
          <w:b w:val="0"/>
          <w:i w:val="0"/>
        </w:rPr>
        <w:br/>
      </w:r>
      <w:r>
        <w:rPr>
          <w:b/>
          <w:i/>
        </w:rPr>
        <w:t>Nơi nhận</w:t>
      </w:r>
      <w:r>
        <w:rPr>
          <w:b w:val="0"/>
          <w:i w:val="0"/>
        </w:rPr>
        <w:t>:</w:t>
      </w:r>
      <w:r>
        <w:rPr>
          <w:b w:val="0"/>
          <w:i w:val="0"/>
        </w:rPr>
        <w:br/>
      </w:r>
      <w:r>
        <w:rPr>
          <w:b w:val="0"/>
          <w:i w:val="0"/>
        </w:rPr>
        <w:t>- NHNN VN</w:t>
      </w:r>
      <w:r>
        <w:rPr>
          <w:b w:val="0"/>
          <w:i w:val="0"/>
        </w:rPr>
        <w:br/>
      </w:r>
      <w:r>
        <w:rPr>
          <w:b w:val="0"/>
          <w:i w:val="0"/>
        </w:rPr>
        <w:t>- Bộ NN và CNTP</w:t>
      </w:r>
      <w:r>
        <w:rPr>
          <w:b w:val="0"/>
          <w:i w:val="0"/>
        </w:rPr>
        <w:br/>
      </w:r>
      <w:r>
        <w:rPr>
          <w:b w:val="0"/>
          <w:i w:val="0"/>
        </w:rPr>
        <w:t>- UBVG NN</w:t>
      </w:r>
      <w:r>
        <w:rPr>
          <w:b w:val="0"/>
          <w:i w:val="0"/>
        </w:rPr>
        <w:br/>
      </w:r>
      <w:r>
        <w:rPr>
          <w:b w:val="0"/>
          <w:i w:val="0"/>
        </w:rPr>
        <w:t>- Tổng cục thống kê</w:t>
      </w:r>
      <w:r>
        <w:rPr>
          <w:b w:val="0"/>
          <w:i w:val="0"/>
        </w:rPr>
        <w:br/>
      </w:r>
      <w:r>
        <w:rPr>
          <w:b w:val="0"/>
          <w:i w:val="0"/>
        </w:rPr>
        <w:t>- UBND các tỉnh, thành phố</w:t>
      </w:r>
      <w:r>
        <w:rPr>
          <w:b w:val="0"/>
          <w:i w:val="0"/>
        </w:rPr>
        <w:br/>
      </w:r>
      <w:r>
        <w:rPr>
          <w:b w:val="0"/>
          <w:i w:val="0"/>
        </w:rPr>
        <w:t>- Các Chi cục KBNN</w:t>
      </w:r>
      <w:r>
        <w:rPr>
          <w:b w:val="0"/>
          <w:i w:val="0"/>
        </w:rPr>
        <w:br/>
      </w:r>
      <w:r>
        <w:rPr>
          <w:b w:val="0"/>
          <w:i w:val="0"/>
        </w:rPr>
        <w:t>- Các Chi nhánh KBNN</w:t>
      </w:r>
      <w:r>
        <w:rPr>
          <w:b w:val="0"/>
          <w:i w:val="0"/>
        </w:rPr>
        <w:br/>
      </w:r>
      <w:r>
        <w:rPr>
          <w:b w:val="0"/>
          <w:i w:val="0"/>
        </w:rPr>
        <w:t>- Các Vụ, Cục thuộc Bộ TC</w:t>
      </w:r>
      <w:r>
        <w:rPr>
          <w:b w:val="0"/>
          <w:i w:val="0"/>
        </w:rPr>
        <w:br/>
      </w:r>
      <w:r>
        <w:rPr>
          <w:b w:val="0"/>
          <w:i w:val="0"/>
        </w:rPr>
        <w:t>- Lưu: VP Bộ, Cục KBNN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42 - TC/KBNN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9 tháng 9 năm 1992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